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AC8D2" w14:textId="021D5DF3" w:rsidR="00D91106" w:rsidRPr="001F3AD8" w:rsidRDefault="001C4747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>RESOLUCIÓN</w:t>
      </w:r>
      <w:r w:rsidR="0045121B"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  <w:r w:rsidR="00AC22DC" w:rsidRPr="001F3AD8">
        <w:rPr>
          <w:rFonts w:ascii="Work Sans Light" w:eastAsia="Times New Roman" w:hAnsi="Work Sans Light" w:cs="Times New Roman"/>
          <w:lang w:eastAsia="es-CO"/>
        </w:rPr>
        <w:t>N</w:t>
      </w:r>
      <w:r w:rsidR="00B57554" w:rsidRPr="001F3AD8">
        <w:rPr>
          <w:rFonts w:ascii="Work Sans Light" w:eastAsia="Times New Roman" w:hAnsi="Work Sans Light" w:cs="Times New Roman"/>
          <w:lang w:eastAsia="es-CO"/>
        </w:rPr>
        <w:t>U</w:t>
      </w:r>
      <w:r w:rsidR="00AC22DC" w:rsidRPr="001F3AD8">
        <w:rPr>
          <w:rFonts w:ascii="Work Sans Light" w:eastAsia="Times New Roman" w:hAnsi="Work Sans Light" w:cs="Times New Roman"/>
          <w:lang w:eastAsia="es-CO"/>
        </w:rPr>
        <w:t>MERO                            DE</w:t>
      </w:r>
    </w:p>
    <w:p w14:paraId="36E74A1B" w14:textId="77777777" w:rsidR="006E64E4" w:rsidRPr="001F3AD8" w:rsidRDefault="006E64E4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lang w:eastAsia="es-CO"/>
        </w:rPr>
      </w:pPr>
    </w:p>
    <w:p w14:paraId="03A4D273" w14:textId="7E471416" w:rsidR="006E64E4" w:rsidRDefault="00AC22DC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i/>
          <w:iCs/>
          <w:lang w:eastAsia="es-CO"/>
        </w:rPr>
      </w:pPr>
      <w:r w:rsidRPr="001F3AD8">
        <w:rPr>
          <w:rFonts w:ascii="Work Sans Light" w:eastAsia="Times New Roman" w:hAnsi="Work Sans Light" w:cs="Times New Roman"/>
          <w:i/>
          <w:iCs/>
          <w:lang w:eastAsia="es-CO"/>
        </w:rPr>
        <w:t>“Por</w:t>
      </w:r>
      <w:r w:rsidR="0045121B" w:rsidRPr="001F3AD8">
        <w:rPr>
          <w:rFonts w:ascii="Work Sans Light" w:eastAsia="Times New Roman" w:hAnsi="Work Sans Light" w:cs="Times New Roman"/>
          <w:i/>
          <w:iCs/>
          <w:lang w:eastAsia="es-CO"/>
        </w:rPr>
        <w:t xml:space="preserve"> </w:t>
      </w:r>
      <w:r w:rsidR="00B32F7D">
        <w:rPr>
          <w:rFonts w:ascii="Work Sans Light" w:eastAsia="Times New Roman" w:hAnsi="Work Sans Light" w:cs="Times New Roman"/>
          <w:i/>
          <w:iCs/>
          <w:lang w:eastAsia="es-CO"/>
        </w:rPr>
        <w:t>la cual se establecen los procedimientos sancionatorios por infracción al Estatuto de Pesca en Pesca Marina y Pesca Continental y se establecen otras disposiciones</w:t>
      </w:r>
      <w:r w:rsidRPr="001F3AD8">
        <w:rPr>
          <w:rFonts w:ascii="Work Sans Light" w:eastAsia="Times New Roman" w:hAnsi="Work Sans Light" w:cs="Times New Roman"/>
          <w:i/>
          <w:iCs/>
          <w:lang w:eastAsia="es-CO"/>
        </w:rPr>
        <w:t xml:space="preserve">”  </w:t>
      </w:r>
    </w:p>
    <w:p w14:paraId="652A325C" w14:textId="77777777" w:rsidR="006E64E4" w:rsidRPr="001F3AD8" w:rsidRDefault="006E64E4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lang w:eastAsia="es-CO"/>
        </w:rPr>
      </w:pPr>
    </w:p>
    <w:p w14:paraId="1EDAD02F" w14:textId="73D89E08" w:rsidR="00E13D39" w:rsidRDefault="00E13D39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  <w:r w:rsidRPr="001F3AD8">
        <w:rPr>
          <w:rFonts w:ascii="Work Sans Light" w:eastAsia="Times New Roman" w:hAnsi="Work Sans Light" w:cs="Times New Roman"/>
          <w:b/>
          <w:bCs/>
          <w:lang w:eastAsia="es-CO"/>
        </w:rPr>
        <w:t xml:space="preserve">EL DIRECTOR GENERAL DE LA AUTORIDAD NACIONAL DE ACUICULTURA Y </w:t>
      </w:r>
      <w:r w:rsidR="00FA6FDA" w:rsidRPr="001F3AD8">
        <w:rPr>
          <w:rFonts w:ascii="Work Sans Light" w:eastAsia="Times New Roman" w:hAnsi="Work Sans Light" w:cs="Times New Roman"/>
          <w:b/>
          <w:bCs/>
          <w:lang w:eastAsia="es-CO"/>
        </w:rPr>
        <w:t>PESCA -</w:t>
      </w:r>
      <w:r w:rsidRPr="001F3AD8">
        <w:rPr>
          <w:rFonts w:ascii="Work Sans Light" w:eastAsia="Times New Roman" w:hAnsi="Work Sans Light" w:cs="Times New Roman"/>
          <w:b/>
          <w:bCs/>
          <w:lang w:eastAsia="es-CO"/>
        </w:rPr>
        <w:t xml:space="preserve">AUNAP </w:t>
      </w:r>
    </w:p>
    <w:p w14:paraId="4B716FF8" w14:textId="77777777" w:rsidR="00E13D39" w:rsidRPr="001F3AD8" w:rsidRDefault="00E13D39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lang w:eastAsia="es-CO"/>
        </w:rPr>
      </w:pPr>
    </w:p>
    <w:p w14:paraId="5C6CBD06" w14:textId="4D2E451A" w:rsidR="00D91106" w:rsidRPr="001F3AD8" w:rsidRDefault="00E13D39" w:rsidP="00EB05A7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>En uso de las facultades que le confiere el Decreto - Ley 4181 de 2011, la Ley 13 de 1990 y el Decreto No. 1071 de 2015, y</w:t>
      </w:r>
    </w:p>
    <w:p w14:paraId="33A8CDD1" w14:textId="77777777" w:rsidR="00E13D39" w:rsidRPr="001F3AD8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3DEFC9E3" w14:textId="031DDD40" w:rsidR="00E13D39" w:rsidRDefault="00E13D39" w:rsidP="00EB05A7">
      <w:pPr>
        <w:autoSpaceDN w:val="0"/>
        <w:spacing w:after="0" w:line="240" w:lineRule="auto"/>
        <w:jc w:val="center"/>
        <w:rPr>
          <w:rFonts w:eastAsia="Times New Roman" w:cs="Arial"/>
          <w:lang w:val="es-ES" w:eastAsia="es-ES"/>
        </w:rPr>
      </w:pPr>
      <w:r w:rsidRPr="00D91106">
        <w:rPr>
          <w:rFonts w:ascii="Work Sans Light" w:eastAsia="Times New Roman" w:hAnsi="Work Sans Light" w:cs="Times New Roman"/>
          <w:b/>
          <w:bCs/>
          <w:lang w:eastAsia="es-CO"/>
        </w:rPr>
        <w:t>C O N S I D E R A N D O</w:t>
      </w:r>
    </w:p>
    <w:p w14:paraId="5810987C" w14:textId="77777777" w:rsidR="00D91106" w:rsidRPr="003D7C2D" w:rsidRDefault="00D91106" w:rsidP="00EB05A7">
      <w:pPr>
        <w:autoSpaceDN w:val="0"/>
        <w:spacing w:after="0" w:line="240" w:lineRule="auto"/>
        <w:jc w:val="center"/>
        <w:rPr>
          <w:rFonts w:eastAsia="Times New Roman" w:cs="Arial"/>
          <w:lang w:val="es-ES" w:eastAsia="es-ES"/>
        </w:rPr>
      </w:pPr>
    </w:p>
    <w:p w14:paraId="3320E8C6" w14:textId="58339BCE" w:rsidR="00E13D39" w:rsidRPr="001F3AD8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>Que el artículo 2 de la Constitución Política de 1991, establece que “</w:t>
      </w:r>
      <w:r w:rsidRPr="001F3AD8">
        <w:rPr>
          <w:rFonts w:ascii="Work Sans Light" w:eastAsia="Times New Roman" w:hAnsi="Work Sans Light" w:cs="Times New Roman"/>
          <w:i/>
          <w:iCs/>
          <w:lang w:eastAsia="es-CO"/>
        </w:rPr>
        <w:t>Son fines esenciales del Estado: servir a la comunidad, promover la prosperidad general y garantizar la efectividad de los principios, derechos y deberes consagrados en la Constitución; facilitar la participación de todos en las decisiones que los afectan y en la vida económica, política, administrativa y cultural de la Nación; defender la independencia nacional, mantener la integridad territorial y asegurar la convivencia pacífica y la vigencia de un orden justo, las autoridades de la República están instituidas para proteger a todas las personas residentes en Colombia, en su vida, honra, bienes, creencias, y demás derechos y libertades, y para asegurar el cumplimiento de los deberes sociales del Estado y de Los particulares</w:t>
      </w:r>
      <w:r w:rsidR="001F3AD8">
        <w:rPr>
          <w:rFonts w:ascii="Work Sans Light" w:eastAsia="Times New Roman" w:hAnsi="Work Sans Light" w:cs="Times New Roman"/>
          <w:lang w:eastAsia="es-CO"/>
        </w:rPr>
        <w:t>”</w:t>
      </w:r>
      <w:r w:rsidR="00D92230">
        <w:rPr>
          <w:rFonts w:ascii="Work Sans Light" w:eastAsia="Times New Roman" w:hAnsi="Work Sans Light" w:cs="Times New Roman"/>
          <w:lang w:eastAsia="es-CO"/>
        </w:rPr>
        <w:t>.</w:t>
      </w:r>
    </w:p>
    <w:p w14:paraId="108ECF92" w14:textId="77777777" w:rsidR="00E13D39" w:rsidRPr="001F3AD8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51BDCD22" w14:textId="77777777" w:rsidR="00E13D39" w:rsidRPr="001F3AD8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Que de conformidad con lo dispuesto en los artículos 79 y 80 de la Constitución Política de Colombia, todas las personas tienen derecho a gozar de un ambiente sano en </w:t>
      </w:r>
      <w:r w:rsidR="00304B70" w:rsidRPr="001F3AD8">
        <w:rPr>
          <w:rFonts w:ascii="Work Sans Light" w:eastAsia="Times New Roman" w:hAnsi="Work Sans Light" w:cs="Times New Roman"/>
          <w:lang w:eastAsia="es-CO"/>
        </w:rPr>
        <w:t>virtud de lo cual es deber del E</w:t>
      </w:r>
      <w:r w:rsidRPr="001F3AD8">
        <w:rPr>
          <w:rFonts w:ascii="Work Sans Light" w:eastAsia="Times New Roman" w:hAnsi="Work Sans Light" w:cs="Times New Roman"/>
          <w:lang w:eastAsia="es-CO"/>
        </w:rPr>
        <w:t>stado proteger la diversidad e integridad del ambiente, conservar las áreas de especial importancia ecológica y fomentar la educación para el logro de estos fines, así como planificar el manejo y aprovechamiento de los recursos naturales para garantizar su desarrollo sostenible, conservación, restauración, o sustitución.</w:t>
      </w:r>
    </w:p>
    <w:p w14:paraId="3E403431" w14:textId="77777777" w:rsidR="00E13D39" w:rsidRPr="001F3AD8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401F0FB9" w14:textId="6DBD8505" w:rsidR="00E13D39" w:rsidRPr="007F3132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i/>
          <w:iCs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>Que el Estatuto General de Pesca (Ley 13 de 1990) establece en su artículo primero "</w:t>
      </w:r>
      <w:r w:rsidRPr="001F3AD8">
        <w:rPr>
          <w:rFonts w:ascii="Work Sans Light" w:eastAsia="Times New Roman" w:hAnsi="Work Sans Light" w:cs="Times New Roman"/>
          <w:i/>
          <w:iCs/>
          <w:lang w:eastAsia="es-CO"/>
        </w:rPr>
        <w:t>La presente Ley tiene por objeto regular el manejo integral y la explotación racional de los recursos pesqueros con el fin de asegurar su aprovechamiento sostenido</w:t>
      </w:r>
      <w:r w:rsidRPr="007F3132">
        <w:rPr>
          <w:rFonts w:ascii="Work Sans Light" w:eastAsia="Times New Roman" w:hAnsi="Work Sans Light" w:cs="Times New Roman"/>
          <w:i/>
          <w:iCs/>
          <w:lang w:eastAsia="es-CO"/>
        </w:rPr>
        <w:t>"</w:t>
      </w:r>
      <w:r w:rsidR="005E2FE6">
        <w:rPr>
          <w:rFonts w:ascii="Work Sans Light" w:eastAsia="Times New Roman" w:hAnsi="Work Sans Light" w:cs="Times New Roman"/>
          <w:i/>
          <w:iCs/>
          <w:lang w:eastAsia="es-CO"/>
        </w:rPr>
        <w:t>.</w:t>
      </w:r>
    </w:p>
    <w:p w14:paraId="02AAF079" w14:textId="77777777" w:rsidR="00E13D39" w:rsidRPr="001F3AD8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2049E6E2" w14:textId="238D81E3" w:rsidR="00205A97" w:rsidRDefault="00205A9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en el artículo 54 de la Ley 13 de 1990 en concordancia con lo señalado en </w:t>
      </w:r>
      <w:r w:rsidR="00BB0794">
        <w:rPr>
          <w:rFonts w:ascii="Work Sans Light" w:eastAsia="Times New Roman" w:hAnsi="Work Sans Light" w:cs="Times New Roman"/>
          <w:lang w:eastAsia="es-CO"/>
        </w:rPr>
        <w:t xml:space="preserve">el artículo 160 </w:t>
      </w:r>
      <w:r>
        <w:rPr>
          <w:rFonts w:ascii="Work Sans Light" w:eastAsia="Times New Roman" w:hAnsi="Work Sans Light" w:cs="Times New Roman"/>
          <w:lang w:eastAsia="es-CO"/>
        </w:rPr>
        <w:t>del</w:t>
      </w:r>
      <w:r w:rsidR="00BB0794">
        <w:rPr>
          <w:rFonts w:ascii="Work Sans Light" w:eastAsia="Times New Roman" w:hAnsi="Work Sans Light" w:cs="Times New Roman"/>
          <w:lang w:eastAsia="es-CO"/>
        </w:rPr>
        <w:t xml:space="preserve"> Decreto 2256 de 1991 compilado en el artículo</w:t>
      </w:r>
      <w:r>
        <w:rPr>
          <w:rFonts w:ascii="Work Sans Light" w:eastAsia="Times New Roman" w:hAnsi="Work Sans Light" w:cs="Times New Roman"/>
          <w:lang w:eastAsia="es-CO"/>
        </w:rPr>
        <w:t xml:space="preserve"> </w:t>
      </w:r>
      <w:r w:rsidRPr="00205A97">
        <w:rPr>
          <w:rFonts w:ascii="Work Sans Light" w:eastAsia="Times New Roman" w:hAnsi="Work Sans Light" w:cs="Times New Roman"/>
          <w:lang w:eastAsia="es-CO"/>
        </w:rPr>
        <w:t>2.16.15.2.1.</w:t>
      </w:r>
      <w:r w:rsidR="00BB0794">
        <w:rPr>
          <w:rFonts w:ascii="Work Sans Light" w:eastAsia="Times New Roman" w:hAnsi="Work Sans Light" w:cs="Times New Roman"/>
          <w:lang w:eastAsia="es-CO"/>
        </w:rPr>
        <w:t xml:space="preserve"> del Decreto 1071 de 2015, </w:t>
      </w:r>
      <w:r>
        <w:rPr>
          <w:rFonts w:ascii="Work Sans Light" w:eastAsia="Times New Roman" w:hAnsi="Work Sans Light" w:cs="Times New Roman"/>
          <w:lang w:eastAsia="es-CO"/>
        </w:rPr>
        <w:t>se establecieron las prohibiciones sobre las cuales se activa la función sancionatoria de la Autoridad Nacional de Acuicultura y Pesca – AUNAP.</w:t>
      </w:r>
    </w:p>
    <w:p w14:paraId="63BC5082" w14:textId="77777777" w:rsidR="00C921F5" w:rsidRDefault="00C921F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4A6966A4" w14:textId="6321E894" w:rsidR="00C921F5" w:rsidRDefault="00C921F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Que la Ley 13 de 1990 en su artículo 55 en principio estableció las sanciones que la entidad puede imponer a quienes incurran en las acciones referidas en el párrafo anterior.</w:t>
      </w:r>
    </w:p>
    <w:p w14:paraId="4E2B20C7" w14:textId="77777777" w:rsidR="00205A97" w:rsidRDefault="00205A9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2D7F146" w14:textId="6EAC9B0D" w:rsidR="00E13D39" w:rsidRPr="001F3AD8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Que mediante el Decreto – Ley 4181 del 03 de noviembre de 2011, se crea la Autoridad Nacional de Acuicultura y Pesca – AUNAP, como una Unidad Administrativa Especial, descentralizada, del orden nacional, de carácter técnico especializado, adscrita al </w:t>
      </w:r>
      <w:r w:rsidR="00A02C7B" w:rsidRPr="001F3AD8">
        <w:rPr>
          <w:rFonts w:ascii="Work Sans Light" w:eastAsia="Times New Roman" w:hAnsi="Work Sans Light" w:cs="Times New Roman"/>
          <w:lang w:eastAsia="es-CO"/>
        </w:rPr>
        <w:t>Ministerio de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Agricultura y Desarrollo Rural</w:t>
      </w:r>
      <w:r w:rsidR="00451FF6" w:rsidRPr="001F3AD8">
        <w:rPr>
          <w:rFonts w:ascii="Work Sans Light" w:eastAsia="Times New Roman" w:hAnsi="Work Sans Light" w:cs="Times New Roman"/>
          <w:lang w:eastAsia="es-CO"/>
        </w:rPr>
        <w:t>.</w:t>
      </w:r>
    </w:p>
    <w:p w14:paraId="615007C9" w14:textId="77777777" w:rsidR="00E13D39" w:rsidRPr="001F3AD8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56479671" w14:textId="122605DD" w:rsidR="00E13D39" w:rsidRPr="001F3AD8" w:rsidRDefault="00E13D39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Que el artículo 3 del Decreto No. 4181 del 2011, estableció como objeto institucional de la Autoridad Nacional de Acuicultura y Pesca – AUNAP, ejercer la autoridad pesquera y acuícola de Colombia, para lo cual adelantará los procesos de planificación, investigación, ordenamiento, fomento, regulación, registro, información, </w:t>
      </w:r>
      <w:r w:rsidRPr="00C921F5">
        <w:rPr>
          <w:rFonts w:ascii="Work Sans Light" w:eastAsia="Times New Roman" w:hAnsi="Work Sans Light" w:cs="Times New Roman"/>
          <w:u w:val="single"/>
          <w:lang w:eastAsia="es-CO"/>
        </w:rPr>
        <w:t>inspección, vigilancia y control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de las actividades de pesca y acuicultura, </w:t>
      </w:r>
      <w:r w:rsidRPr="00C921F5">
        <w:rPr>
          <w:rFonts w:ascii="Work Sans Light" w:eastAsia="Times New Roman" w:hAnsi="Work Sans Light" w:cs="Times New Roman"/>
          <w:u w:val="single"/>
          <w:lang w:eastAsia="es-CO"/>
        </w:rPr>
        <w:t>aplicando las sanciones a que haya lugar</w:t>
      </w:r>
      <w:r w:rsidRPr="001F3AD8">
        <w:rPr>
          <w:rFonts w:ascii="Work Sans Light" w:eastAsia="Times New Roman" w:hAnsi="Work Sans Light" w:cs="Times New Roman"/>
          <w:lang w:eastAsia="es-CO"/>
        </w:rPr>
        <w:t>, dentro de una política de fomento y desarrollo sostenible de estos recursos, lo cual se encuentra acorde con lo consagrado en el artículo 1 de la Ley 13 de 1990, compilado por el Decreto No. 1071 del 26 de mayo de 2015, en el artículo 2.16.1.1.1.</w:t>
      </w:r>
    </w:p>
    <w:p w14:paraId="57BBBBF0" w14:textId="77777777" w:rsidR="0020162B" w:rsidRPr="001F3AD8" w:rsidRDefault="0020162B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6E39FAF" w14:textId="0CA7418B" w:rsidR="004D67CE" w:rsidRDefault="004D67CE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Que el artículo 5 del Decreto 4181 de 2011 </w:t>
      </w:r>
      <w:r w:rsidR="00C921F5">
        <w:rPr>
          <w:rFonts w:ascii="Work Sans Light" w:eastAsia="Times New Roman" w:hAnsi="Work Sans Light" w:cs="Times New Roman"/>
          <w:lang w:eastAsia="es-CO"/>
        </w:rPr>
        <w:t xml:space="preserve">en su numeral 11, </w:t>
      </w:r>
      <w:r w:rsidRPr="001F3AD8">
        <w:rPr>
          <w:rFonts w:ascii="Work Sans Light" w:eastAsia="Times New Roman" w:hAnsi="Work Sans Light" w:cs="Times New Roman"/>
          <w:lang w:eastAsia="es-CO"/>
        </w:rPr>
        <w:t>estableció</w:t>
      </w:r>
      <w:r w:rsidR="00C921F5">
        <w:rPr>
          <w:rFonts w:ascii="Work Sans Light" w:eastAsia="Times New Roman" w:hAnsi="Work Sans Light" w:cs="Times New Roman"/>
          <w:lang w:eastAsia="es-CO"/>
        </w:rPr>
        <w:t xml:space="preserve"> como función general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de la AUNAP para d</w:t>
      </w:r>
      <w:r w:rsidR="00C921F5">
        <w:rPr>
          <w:rFonts w:ascii="Work Sans Light" w:eastAsia="Times New Roman" w:hAnsi="Work Sans Light" w:cs="Times New Roman"/>
          <w:lang w:eastAsia="es-CO"/>
        </w:rPr>
        <w:t>ar cumplimiento a su objeto, la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de </w:t>
      </w:r>
      <w:r w:rsidR="00C921F5">
        <w:rPr>
          <w:rFonts w:ascii="Work Sans Light" w:eastAsia="Times New Roman" w:hAnsi="Work Sans Light" w:cs="Times New Roman"/>
          <w:i/>
          <w:iCs/>
          <w:lang w:eastAsia="es-CO"/>
        </w:rPr>
        <w:t>“</w:t>
      </w:r>
      <w:r w:rsidR="00C921F5" w:rsidRPr="00C921F5">
        <w:rPr>
          <w:rFonts w:ascii="Work Sans Light" w:eastAsia="Times New Roman" w:hAnsi="Work Sans Light" w:cs="Times New Roman"/>
          <w:i/>
          <w:iCs/>
          <w:lang w:eastAsia="es-CO"/>
        </w:rPr>
        <w:t>Adelantar las investigaciones administrativas sobre las conductas violatorias de las disposiciones establecidas en el Estatuto General de Pesca o normas que lo sustituyan o adicionen, e imponer las sanciones a que hubiere lugar, conforme con la normativa vigente</w:t>
      </w:r>
      <w:r w:rsidRPr="001F3AD8">
        <w:rPr>
          <w:rFonts w:ascii="Work Sans Light" w:eastAsia="Times New Roman" w:hAnsi="Work Sans Light" w:cs="Times New Roman"/>
          <w:i/>
          <w:iCs/>
          <w:lang w:eastAsia="es-CO"/>
        </w:rPr>
        <w:t>”</w:t>
      </w:r>
      <w:r w:rsidR="00D92230">
        <w:rPr>
          <w:rFonts w:ascii="Work Sans Light" w:eastAsia="Times New Roman" w:hAnsi="Work Sans Light" w:cs="Times New Roman"/>
          <w:i/>
          <w:iCs/>
          <w:lang w:eastAsia="es-CO"/>
        </w:rPr>
        <w:t>.</w:t>
      </w:r>
      <w:r w:rsidR="0045121B"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</w:p>
    <w:p w14:paraId="078A1BD6" w14:textId="77777777" w:rsidR="00C921F5" w:rsidRDefault="00C921F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585A85E8" w14:textId="0FA1054C" w:rsidR="00C921F5" w:rsidRDefault="00C921F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dentro de la estructura de la AUNAP se encuentra la Dirección Técnica de Inspección y Vigilancia, la cual dentro de sus funciones establecidas en el artículo 16 del Decreto 4181 de 2011 están las de: </w:t>
      </w:r>
      <w:r>
        <w:rPr>
          <w:rFonts w:ascii="Work Sans Light" w:eastAsia="Times New Roman" w:hAnsi="Work Sans Light" w:cs="Times New Roman"/>
          <w:i/>
          <w:lang w:eastAsia="es-CO"/>
        </w:rPr>
        <w:t>“</w:t>
      </w:r>
      <w:r w:rsidRPr="00C921F5">
        <w:rPr>
          <w:rFonts w:ascii="Work Sans Light" w:eastAsia="Times New Roman" w:hAnsi="Work Sans Light" w:cs="Times New Roman"/>
          <w:b/>
          <w:i/>
          <w:lang w:eastAsia="es-CO"/>
        </w:rPr>
        <w:t>4.</w:t>
      </w:r>
      <w:r w:rsidRPr="00C921F5">
        <w:rPr>
          <w:rFonts w:ascii="Work Sans Light" w:eastAsia="Times New Roman" w:hAnsi="Work Sans Light" w:cs="Times New Roman"/>
          <w:i/>
          <w:lang w:eastAsia="es-CO"/>
        </w:rPr>
        <w:t xml:space="preserve"> Realizar los operativos, visitas a centros de acopio y áreas de extracción e </w:t>
      </w:r>
      <w:r w:rsidRPr="0082204D">
        <w:rPr>
          <w:rFonts w:ascii="Work Sans Light" w:eastAsia="Times New Roman" w:hAnsi="Work Sans Light" w:cs="Times New Roman"/>
          <w:i/>
          <w:u w:val="single"/>
          <w:lang w:eastAsia="es-CO"/>
        </w:rPr>
        <w:t xml:space="preserve">imposición de sanciones al incumplimiento del </w:t>
      </w:r>
      <w:r w:rsidRPr="0082204D">
        <w:rPr>
          <w:rFonts w:ascii="Work Sans Light" w:eastAsia="Times New Roman" w:hAnsi="Work Sans Light" w:cs="Times New Roman"/>
          <w:i/>
          <w:u w:val="single"/>
          <w:lang w:eastAsia="es-CO"/>
        </w:rPr>
        <w:lastRenderedPageBreak/>
        <w:t>estatuto pesquero y demás normatividad vigente</w:t>
      </w:r>
      <w:r w:rsidR="0082204D">
        <w:rPr>
          <w:rFonts w:ascii="Work Sans Light" w:eastAsia="Times New Roman" w:hAnsi="Work Sans Light" w:cs="Times New Roman"/>
          <w:i/>
          <w:lang w:eastAsia="es-CO"/>
        </w:rPr>
        <w:t xml:space="preserve">. (…) </w:t>
      </w:r>
      <w:r w:rsidR="0082204D">
        <w:rPr>
          <w:rFonts w:ascii="Work Sans Light" w:eastAsia="Times New Roman" w:hAnsi="Work Sans Light" w:cs="Times New Roman"/>
          <w:b/>
          <w:i/>
          <w:lang w:eastAsia="es-CO"/>
        </w:rPr>
        <w:t xml:space="preserve">6. </w:t>
      </w:r>
      <w:r w:rsidR="0082204D" w:rsidRPr="0082204D">
        <w:rPr>
          <w:rFonts w:ascii="Work Sans Light" w:eastAsia="Times New Roman" w:hAnsi="Work Sans Light" w:cs="Times New Roman"/>
          <w:i/>
          <w:lang w:eastAsia="es-CO"/>
        </w:rPr>
        <w:t xml:space="preserve">Adelantar los </w:t>
      </w:r>
      <w:r w:rsidR="0082204D" w:rsidRPr="0082204D">
        <w:rPr>
          <w:rFonts w:ascii="Work Sans Light" w:eastAsia="Times New Roman" w:hAnsi="Work Sans Light" w:cs="Times New Roman"/>
          <w:i/>
          <w:u w:val="single"/>
          <w:lang w:eastAsia="es-CO"/>
        </w:rPr>
        <w:t>procesos de investigación administrativa por infracción al estatuto general de pesca</w:t>
      </w:r>
      <w:r w:rsidR="0082204D" w:rsidRPr="0082204D">
        <w:rPr>
          <w:rFonts w:ascii="Work Sans Light" w:eastAsia="Times New Roman" w:hAnsi="Work Sans Light" w:cs="Times New Roman"/>
          <w:i/>
          <w:lang w:eastAsia="es-CO"/>
        </w:rPr>
        <w:t xml:space="preserve"> o régimen jurídico aplicable</w:t>
      </w:r>
      <w:r w:rsidR="0082204D">
        <w:rPr>
          <w:rFonts w:ascii="Work Sans Light" w:eastAsia="Times New Roman" w:hAnsi="Work Sans Light" w:cs="Times New Roman"/>
          <w:i/>
          <w:lang w:eastAsia="es-CO"/>
        </w:rPr>
        <w:t>”.</w:t>
      </w:r>
    </w:p>
    <w:p w14:paraId="2F54F99F" w14:textId="77777777" w:rsidR="0082204D" w:rsidRDefault="0082204D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69F90766" w14:textId="614EEE68" w:rsidR="0082204D" w:rsidRDefault="0082204D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i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Que se expidió la Ley 1851</w:t>
      </w:r>
      <w:r w:rsidR="00CB5167">
        <w:rPr>
          <w:rFonts w:ascii="Work Sans Light" w:eastAsia="Times New Roman" w:hAnsi="Work Sans Light" w:cs="Times New Roman"/>
          <w:lang w:eastAsia="es-CO"/>
        </w:rPr>
        <w:t xml:space="preserve"> del 19 de julio</w:t>
      </w:r>
      <w:r>
        <w:rPr>
          <w:rFonts w:ascii="Work Sans Light" w:eastAsia="Times New Roman" w:hAnsi="Work Sans Light" w:cs="Times New Roman"/>
          <w:lang w:eastAsia="es-CO"/>
        </w:rPr>
        <w:t xml:space="preserve"> de 2017, </w:t>
      </w:r>
      <w:r>
        <w:rPr>
          <w:rFonts w:ascii="Work Sans Light" w:eastAsia="Times New Roman" w:hAnsi="Work Sans Light" w:cs="Times New Roman"/>
          <w:i/>
          <w:lang w:eastAsia="es-CO"/>
        </w:rPr>
        <w:t>“</w:t>
      </w:r>
      <w:r w:rsidR="00CB5167" w:rsidRPr="00CB5167">
        <w:rPr>
          <w:rFonts w:ascii="Work Sans Light" w:eastAsia="Times New Roman" w:hAnsi="Work Sans Light" w:cs="Times New Roman"/>
          <w:i/>
          <w:lang w:eastAsia="es-CO"/>
        </w:rPr>
        <w:t>Por medio de la cual se establecen medidas en contra de la pesca ilegal y el delito de ilícita actividad de pesca en el territorio marítimo colombiano</w:t>
      </w:r>
      <w:r w:rsidR="00CB5167">
        <w:rPr>
          <w:rFonts w:ascii="Work Sans Light" w:eastAsia="Times New Roman" w:hAnsi="Work Sans Light" w:cs="Times New Roman"/>
          <w:i/>
          <w:lang w:eastAsia="es-CO"/>
        </w:rPr>
        <w:t>”.</w:t>
      </w:r>
    </w:p>
    <w:p w14:paraId="103F23D9" w14:textId="77777777" w:rsidR="00CB5167" w:rsidRDefault="00CB516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i/>
          <w:lang w:eastAsia="es-CO"/>
        </w:rPr>
      </w:pPr>
    </w:p>
    <w:p w14:paraId="7EDD45E6" w14:textId="77777777" w:rsidR="00CB5167" w:rsidRDefault="00CB516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el artículo 7° de la Ley 1851 de 2017 modificó el artículo 55 de la Ley 13 de 1990 respecto a las sanciones administrativas que proceden por infracción del Estatuto de Pesca. </w:t>
      </w:r>
    </w:p>
    <w:p w14:paraId="78319E11" w14:textId="77777777" w:rsidR="00CB5167" w:rsidRDefault="00CB516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2C1CFCED" w14:textId="4BC212E8" w:rsidR="00CB5167" w:rsidRDefault="00CB5167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a su vez, el artículo 8° </w:t>
      </w:r>
      <w:r>
        <w:rPr>
          <w:rFonts w:ascii="Work Sans Light" w:eastAsia="Times New Roman" w:hAnsi="Work Sans Light" w:cs="Times New Roman"/>
          <w:i/>
          <w:lang w:eastAsia="es-CO"/>
        </w:rPr>
        <w:t>ibídem</w:t>
      </w:r>
      <w:r>
        <w:rPr>
          <w:rFonts w:ascii="Work Sans Light" w:eastAsia="Times New Roman" w:hAnsi="Work Sans Light" w:cs="Times New Roman"/>
          <w:lang w:eastAsia="es-CO"/>
        </w:rPr>
        <w:t xml:space="preserve"> describió el </w:t>
      </w:r>
      <w:r w:rsidRPr="00B3254B">
        <w:rPr>
          <w:rFonts w:ascii="Work Sans Light" w:eastAsia="Times New Roman" w:hAnsi="Work Sans Light" w:cs="Times New Roman"/>
          <w:b/>
          <w:lang w:eastAsia="es-CO"/>
        </w:rPr>
        <w:t>procedimiento administrativo sancionatorio cuando se trate de pesca marina</w:t>
      </w:r>
      <w:r>
        <w:rPr>
          <w:rFonts w:ascii="Work Sans Light" w:eastAsia="Times New Roman" w:hAnsi="Work Sans Light" w:cs="Times New Roman"/>
          <w:lang w:eastAsia="es-CO"/>
        </w:rPr>
        <w:t>.</w:t>
      </w:r>
      <w:r w:rsidR="00F608E9">
        <w:rPr>
          <w:rFonts w:ascii="Work Sans Light" w:eastAsia="Times New Roman" w:hAnsi="Work Sans Light" w:cs="Times New Roman"/>
          <w:lang w:eastAsia="es-CO"/>
        </w:rPr>
        <w:t xml:space="preserve"> En dicha disposición se consagr</w:t>
      </w:r>
      <w:r w:rsidR="00B3254B">
        <w:rPr>
          <w:rFonts w:ascii="Work Sans Light" w:eastAsia="Times New Roman" w:hAnsi="Work Sans Light" w:cs="Times New Roman"/>
          <w:lang w:eastAsia="es-CO"/>
        </w:rPr>
        <w:t>ó para el</w:t>
      </w:r>
      <w:r w:rsidR="00F608E9">
        <w:rPr>
          <w:rFonts w:ascii="Work Sans Light" w:eastAsia="Times New Roman" w:hAnsi="Work Sans Light" w:cs="Times New Roman"/>
          <w:lang w:eastAsia="es-CO"/>
        </w:rPr>
        <w:t xml:space="preserve"> procedimiento la doble instancia con la procedencia de la interposición de los recursos estipulados en el artículo 74 de la Ley 1437 de 2011</w:t>
      </w:r>
      <w:r w:rsidR="00F608E9">
        <w:rPr>
          <w:rStyle w:val="Refdenotaalpie"/>
          <w:rFonts w:ascii="Work Sans Light" w:eastAsia="Times New Roman" w:hAnsi="Work Sans Light" w:cs="Times New Roman"/>
          <w:lang w:eastAsia="es-CO"/>
        </w:rPr>
        <w:footnoteReference w:id="1"/>
      </w:r>
      <w:r w:rsidR="00A21E00">
        <w:rPr>
          <w:rFonts w:ascii="Work Sans Light" w:eastAsia="Times New Roman" w:hAnsi="Work Sans Light" w:cs="Times New Roman"/>
          <w:lang w:eastAsia="es-CO"/>
        </w:rPr>
        <w:t>, cuando sea el recurso de reposición, éste deberá ser resuelto por la Dirección Técnica de Inspección y Vigilancia</w:t>
      </w:r>
      <w:r w:rsidR="00B3254B">
        <w:rPr>
          <w:rFonts w:ascii="Work Sans Light" w:eastAsia="Times New Roman" w:hAnsi="Work Sans Light" w:cs="Times New Roman"/>
          <w:lang w:eastAsia="es-CO"/>
        </w:rPr>
        <w:t>. En el mismo sentido el precepto legal refirió que la apelación la resolverá el Director General de la Autoridad Nacional de Acuicultura y Pesca – AUNAP.</w:t>
      </w:r>
    </w:p>
    <w:p w14:paraId="4A5B92BA" w14:textId="77777777" w:rsidR="00453156" w:rsidRDefault="00453156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10D5FB09" w14:textId="13C4D01B" w:rsidR="00453156" w:rsidRDefault="00453156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aunado a lo anterior, en la AUNAP se adelanta el procedimiento administrativo sancionatorio por infracción al Estatuto de Pesca respecto de </w:t>
      </w:r>
      <w:r w:rsidRPr="00453156">
        <w:rPr>
          <w:rFonts w:ascii="Work Sans Light" w:eastAsia="Times New Roman" w:hAnsi="Work Sans Light" w:cs="Times New Roman"/>
          <w:b/>
          <w:lang w:eastAsia="es-CO"/>
        </w:rPr>
        <w:t>pesca continental</w:t>
      </w:r>
      <w:r>
        <w:rPr>
          <w:rFonts w:ascii="Work Sans Light" w:eastAsia="Times New Roman" w:hAnsi="Work Sans Light" w:cs="Times New Roman"/>
          <w:b/>
          <w:lang w:eastAsia="es-CO"/>
        </w:rPr>
        <w:t xml:space="preserve">; </w:t>
      </w:r>
      <w:r>
        <w:rPr>
          <w:rFonts w:ascii="Work Sans Light" w:eastAsia="Times New Roman" w:hAnsi="Work Sans Light" w:cs="Times New Roman"/>
          <w:lang w:eastAsia="es-CO"/>
        </w:rPr>
        <w:t>frente a dicho procedimiento no se encuentra ninguna ley</w:t>
      </w:r>
      <w:r w:rsidR="00D73AEA">
        <w:rPr>
          <w:rFonts w:ascii="Work Sans Light" w:eastAsia="Times New Roman" w:hAnsi="Work Sans Light" w:cs="Times New Roman"/>
          <w:lang w:eastAsia="es-CO"/>
        </w:rPr>
        <w:t>, decreto o disposición</w:t>
      </w:r>
      <w:r>
        <w:rPr>
          <w:rFonts w:ascii="Work Sans Light" w:eastAsia="Times New Roman" w:hAnsi="Work Sans Light" w:cs="Times New Roman"/>
          <w:lang w:eastAsia="es-CO"/>
        </w:rPr>
        <w:t xml:space="preserve"> que lo regule o reglamente</w:t>
      </w:r>
      <w:r w:rsidR="00D73AEA">
        <w:rPr>
          <w:rFonts w:ascii="Work Sans Light" w:eastAsia="Times New Roman" w:hAnsi="Work Sans Light" w:cs="Times New Roman"/>
          <w:lang w:eastAsia="es-CO"/>
        </w:rPr>
        <w:t xml:space="preserve"> de manera expresa</w:t>
      </w:r>
      <w:r>
        <w:rPr>
          <w:rFonts w:ascii="Work Sans Light" w:eastAsia="Times New Roman" w:hAnsi="Work Sans Light" w:cs="Times New Roman"/>
          <w:lang w:eastAsia="es-CO"/>
        </w:rPr>
        <w:t>, razón por la cual se debe acudir al instituido en los artículo 47 y subsiguientes de la Ley 1437 de 2011.</w:t>
      </w:r>
    </w:p>
    <w:p w14:paraId="529A1AF1" w14:textId="77777777" w:rsidR="00453156" w:rsidRDefault="00453156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451C45E2" w14:textId="21A9D4B9" w:rsidR="00453156" w:rsidRDefault="00453156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</w:t>
      </w:r>
      <w:r w:rsidR="00F80D15">
        <w:rPr>
          <w:rFonts w:ascii="Work Sans Light" w:eastAsia="Times New Roman" w:hAnsi="Work Sans Light" w:cs="Times New Roman"/>
          <w:lang w:eastAsia="es-CO"/>
        </w:rPr>
        <w:t>ue en lo referente a recursos en tratándose de pesca continental,</w:t>
      </w:r>
      <w:r w:rsidR="00F80D15" w:rsidRPr="00F80D15">
        <w:t xml:space="preserve"> </w:t>
      </w:r>
      <w:r w:rsidR="00F80D15">
        <w:t xml:space="preserve">se debe acudir al </w:t>
      </w:r>
      <w:r w:rsidR="00F80D15" w:rsidRPr="00F80D15">
        <w:rPr>
          <w:rFonts w:ascii="Work Sans Light" w:eastAsia="Times New Roman" w:hAnsi="Work Sans Light" w:cs="Times New Roman"/>
          <w:lang w:eastAsia="es-CO"/>
        </w:rPr>
        <w:t xml:space="preserve">artículo 2.16.15.3.3. del Decreto 1071 de 2015 que compiló el artículo 164 del Decreto 2256 de 1991, </w:t>
      </w:r>
      <w:r w:rsidR="00F80D15">
        <w:rPr>
          <w:rFonts w:ascii="Work Sans Light" w:eastAsia="Times New Roman" w:hAnsi="Work Sans Light" w:cs="Times New Roman"/>
          <w:lang w:eastAsia="es-CO"/>
        </w:rPr>
        <w:t>el cual predica</w:t>
      </w:r>
      <w:r w:rsidR="00F80D15" w:rsidRPr="00F80D15">
        <w:rPr>
          <w:rFonts w:ascii="Work Sans Light" w:eastAsia="Times New Roman" w:hAnsi="Work Sans Light" w:cs="Times New Roman"/>
          <w:lang w:eastAsia="es-CO"/>
        </w:rPr>
        <w:t xml:space="preserve">: </w:t>
      </w:r>
      <w:r w:rsidR="00F80D15" w:rsidRPr="00F80D15">
        <w:rPr>
          <w:rFonts w:ascii="Work Sans Light" w:eastAsia="Times New Roman" w:hAnsi="Work Sans Light" w:cs="Times New Roman"/>
          <w:b/>
          <w:i/>
          <w:lang w:eastAsia="es-CO"/>
        </w:rPr>
        <w:t xml:space="preserve">“Requisitos y recurso. </w:t>
      </w:r>
      <w:r w:rsidR="00F80D15" w:rsidRPr="00F80D15">
        <w:rPr>
          <w:rFonts w:ascii="Work Sans Light" w:eastAsia="Times New Roman" w:hAnsi="Work Sans Light" w:cs="Times New Roman"/>
          <w:i/>
          <w:lang w:eastAsia="es-CO"/>
        </w:rPr>
        <w:t xml:space="preserve">Las sanciones de que trata este Capítulo serán impuestas mediante resolución motivada, previa comprobación de los hechos que dieron origen a la infracción y después de haber oído en descargos al infractor. </w:t>
      </w:r>
      <w:r w:rsidR="00F80D15" w:rsidRPr="00F80D15">
        <w:rPr>
          <w:rFonts w:ascii="Work Sans Light" w:eastAsia="Times New Roman" w:hAnsi="Work Sans Light" w:cs="Times New Roman"/>
          <w:b/>
          <w:i/>
          <w:u w:val="single"/>
          <w:lang w:eastAsia="es-CO"/>
        </w:rPr>
        <w:t>Contra la resolución que imponga una sanción podrá interponerse el recurso de reposición</w:t>
      </w:r>
      <w:r w:rsidR="00F80D15" w:rsidRPr="00F80D15">
        <w:rPr>
          <w:rFonts w:ascii="Work Sans Light" w:eastAsia="Times New Roman" w:hAnsi="Work Sans Light" w:cs="Times New Roman"/>
          <w:i/>
          <w:lang w:eastAsia="es-CO"/>
        </w:rPr>
        <w:t xml:space="preserve"> en los términos establecidos en el Código de Procedimiento Administrativo y de lo Contencioso Administrativo”.</w:t>
      </w:r>
    </w:p>
    <w:p w14:paraId="0B52715D" w14:textId="77777777" w:rsidR="00F80D15" w:rsidRDefault="00F80D1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4D3A595" w14:textId="4129BCF4" w:rsidR="00F80D15" w:rsidRPr="00453156" w:rsidRDefault="00F80D1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Que como se explicó en apartes que anteceden, de conformidad con lo contemplado en los numeral 4 y 6 del artículo 16 del Decreto 4181 de 2011, la Dirección Técnica de Inspección y Vigilancia es la encargada de adelantar la investigación, expedir el acto administrativo definitivo que pone fin a la única instancia y en caso de interpo</w:t>
      </w:r>
      <w:r w:rsidR="001F361A">
        <w:rPr>
          <w:rFonts w:ascii="Work Sans Light" w:eastAsia="Times New Roman" w:hAnsi="Work Sans Light" w:cs="Times New Roman"/>
          <w:lang w:eastAsia="es-CO"/>
        </w:rPr>
        <w:t>sición</w:t>
      </w:r>
      <w:r>
        <w:rPr>
          <w:rFonts w:ascii="Work Sans Light" w:eastAsia="Times New Roman" w:hAnsi="Work Sans Light" w:cs="Times New Roman"/>
          <w:lang w:eastAsia="es-CO"/>
        </w:rPr>
        <w:t xml:space="preserve"> </w:t>
      </w:r>
      <w:r w:rsidR="001F361A">
        <w:rPr>
          <w:rFonts w:ascii="Work Sans Light" w:eastAsia="Times New Roman" w:hAnsi="Work Sans Light" w:cs="Times New Roman"/>
          <w:lang w:eastAsia="es-CO"/>
        </w:rPr>
        <w:t>de</w:t>
      </w:r>
      <w:r>
        <w:rPr>
          <w:rFonts w:ascii="Work Sans Light" w:eastAsia="Times New Roman" w:hAnsi="Work Sans Light" w:cs="Times New Roman"/>
          <w:lang w:eastAsia="es-CO"/>
        </w:rPr>
        <w:t xml:space="preserve"> recurso de reposición, deberá h</w:t>
      </w:r>
      <w:r w:rsidR="00A21E00">
        <w:rPr>
          <w:rFonts w:ascii="Work Sans Light" w:eastAsia="Times New Roman" w:hAnsi="Work Sans Light" w:cs="Times New Roman"/>
          <w:lang w:eastAsia="es-CO"/>
        </w:rPr>
        <w:t>acer el pronunciamiento oficial, cuando se trate de pesca continental.</w:t>
      </w:r>
    </w:p>
    <w:p w14:paraId="6F7C0FBE" w14:textId="77777777" w:rsidR="001F3AD8" w:rsidRPr="001F3AD8" w:rsidRDefault="001F3AD8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1D8DB6FF" w14:textId="4C075EF8" w:rsidR="00D73AEA" w:rsidRPr="00D73AEA" w:rsidRDefault="00D73AEA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en la definición de competencias y procedimiento propiamente dicho, debe tenerse en cuenta que </w:t>
      </w:r>
      <w:r w:rsidRPr="00D73AEA">
        <w:rPr>
          <w:rFonts w:ascii="Work Sans Light" w:eastAsia="Times New Roman" w:hAnsi="Work Sans Light" w:cs="Times New Roman"/>
          <w:lang w:eastAsia="es-CO"/>
        </w:rPr>
        <w:t>la Ley 1437 de 2011, describe en el artículo 3° numeral 1° que:</w:t>
      </w:r>
    </w:p>
    <w:p w14:paraId="60B21C44" w14:textId="77777777" w:rsidR="00D73AEA" w:rsidRPr="00D73AEA" w:rsidRDefault="00D73AEA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2BF34F6B" w14:textId="77777777" w:rsidR="00D73AEA" w:rsidRPr="00D73AEA" w:rsidRDefault="00D73AEA" w:rsidP="00D73AEA">
      <w:pPr>
        <w:autoSpaceDN w:val="0"/>
        <w:spacing w:after="0" w:line="240" w:lineRule="auto"/>
        <w:ind w:left="708"/>
        <w:jc w:val="both"/>
        <w:rPr>
          <w:rFonts w:ascii="Work Sans Light" w:eastAsia="Times New Roman" w:hAnsi="Work Sans Light" w:cs="Times New Roman"/>
          <w:i/>
          <w:lang w:eastAsia="es-CO"/>
        </w:rPr>
      </w:pP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“En virtud del </w:t>
      </w:r>
      <w:r w:rsidRPr="00D73AEA">
        <w:rPr>
          <w:rFonts w:ascii="Work Sans Light" w:eastAsia="Times New Roman" w:hAnsi="Work Sans Light" w:cs="Times New Roman"/>
          <w:b/>
          <w:i/>
          <w:lang w:eastAsia="es-CO"/>
        </w:rPr>
        <w:t>principio del debido proceso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, </w:t>
      </w:r>
      <w:r w:rsidRPr="00D73AEA">
        <w:rPr>
          <w:rFonts w:ascii="Work Sans Light" w:eastAsia="Times New Roman" w:hAnsi="Work Sans Light" w:cs="Times New Roman"/>
          <w:i/>
          <w:u w:val="single"/>
          <w:lang w:eastAsia="es-CO"/>
        </w:rPr>
        <w:t>las actuaciones administrativas se adelantarán de conformidad con las normas de procedimiento y competencia establecidas en la Constitución y la ley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>, con plena garantía de los derechos de representación, defensa y contradicción.</w:t>
      </w:r>
    </w:p>
    <w:p w14:paraId="303A993C" w14:textId="77777777" w:rsidR="00D73AEA" w:rsidRPr="00D73AEA" w:rsidRDefault="00D73AEA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i/>
          <w:lang w:eastAsia="es-CO"/>
        </w:rPr>
      </w:pPr>
    </w:p>
    <w:p w14:paraId="531552B6" w14:textId="77777777" w:rsidR="00D73AEA" w:rsidRPr="00D73AEA" w:rsidRDefault="00D73AEA" w:rsidP="00D73AEA">
      <w:pPr>
        <w:autoSpaceDN w:val="0"/>
        <w:spacing w:after="0" w:line="240" w:lineRule="auto"/>
        <w:ind w:left="708"/>
        <w:jc w:val="both"/>
        <w:rPr>
          <w:rFonts w:ascii="Work Sans Light" w:eastAsia="Times New Roman" w:hAnsi="Work Sans Light" w:cs="Times New Roman"/>
          <w:lang w:eastAsia="es-CO"/>
        </w:rPr>
      </w:pP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En </w:t>
      </w:r>
      <w:r w:rsidRPr="00D73AEA">
        <w:rPr>
          <w:rFonts w:ascii="Work Sans Light" w:eastAsia="Times New Roman" w:hAnsi="Work Sans Light" w:cs="Times New Roman"/>
          <w:b/>
          <w:i/>
          <w:lang w:eastAsia="es-CO"/>
        </w:rPr>
        <w:t>materia administrativa sancionatoria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, </w:t>
      </w:r>
      <w:r w:rsidRPr="00D73AEA">
        <w:rPr>
          <w:rFonts w:ascii="Work Sans Light" w:eastAsia="Times New Roman" w:hAnsi="Work Sans Light" w:cs="Times New Roman"/>
          <w:i/>
          <w:u w:val="single"/>
          <w:lang w:eastAsia="es-CO"/>
        </w:rPr>
        <w:t>se observarán adicionalmente los principios de legalidad de las faltas y de las sanciones, de presunción de inocencia, de no reformatio in pejus y non bis in ídem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>”.</w:t>
      </w:r>
      <w:r w:rsidRPr="00D73AEA">
        <w:rPr>
          <w:rFonts w:ascii="Work Sans Light" w:eastAsia="Times New Roman" w:hAnsi="Work Sans Light" w:cs="Times New Roman"/>
          <w:lang w:eastAsia="es-CO"/>
        </w:rPr>
        <w:t xml:space="preserve"> (Negrillas y subrayado fuera del texto original).</w:t>
      </w:r>
    </w:p>
    <w:p w14:paraId="7412E7A1" w14:textId="77777777" w:rsidR="00D73AEA" w:rsidRPr="00D73AEA" w:rsidRDefault="00D73AEA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A4AF82A" w14:textId="2548EC34" w:rsidR="008B7DDD" w:rsidRDefault="00D73AEA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Que i</w:t>
      </w:r>
      <w:r w:rsidRPr="00D73AEA">
        <w:rPr>
          <w:rFonts w:ascii="Work Sans Light" w:eastAsia="Times New Roman" w:hAnsi="Work Sans Light" w:cs="Times New Roman"/>
          <w:lang w:eastAsia="es-CO"/>
        </w:rPr>
        <w:t xml:space="preserve">gualmente no puede perderse de vista que el derecho fundamental al </w:t>
      </w:r>
      <w:r w:rsidRPr="00D73AEA">
        <w:rPr>
          <w:rFonts w:ascii="Work Sans Light" w:eastAsia="Times New Roman" w:hAnsi="Work Sans Light" w:cs="Times New Roman"/>
          <w:b/>
          <w:lang w:eastAsia="es-CO"/>
        </w:rPr>
        <w:t>debido proceso</w:t>
      </w:r>
      <w:r w:rsidRPr="00D73AEA">
        <w:rPr>
          <w:rFonts w:ascii="Work Sans Light" w:eastAsia="Times New Roman" w:hAnsi="Work Sans Light" w:cs="Times New Roman"/>
          <w:lang w:eastAsia="es-CO"/>
        </w:rPr>
        <w:t xml:space="preserve"> en palabras de la Corte Constitucional en </w:t>
      </w:r>
      <w:r w:rsidRPr="00D73AEA">
        <w:rPr>
          <w:rFonts w:ascii="Work Sans Light" w:eastAsia="Times New Roman" w:hAnsi="Work Sans Light" w:cs="Times New Roman"/>
          <w:b/>
          <w:lang w:eastAsia="es-CO"/>
        </w:rPr>
        <w:t>Sentencia T-595 de 2019</w:t>
      </w:r>
      <w:r w:rsidRPr="00D73AEA">
        <w:rPr>
          <w:rFonts w:ascii="Work Sans Light" w:eastAsia="Times New Roman" w:hAnsi="Work Sans Light" w:cs="Times New Roman"/>
          <w:lang w:eastAsia="es-CO"/>
        </w:rPr>
        <w:t xml:space="preserve"> señaló: 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“que hacen parte de las garantías del debido proceso administrativo, entre otros, los derechos a </w:t>
      </w:r>
      <w:r w:rsidRPr="00F405F1">
        <w:rPr>
          <w:rFonts w:ascii="Work Sans Light" w:eastAsia="Times New Roman" w:hAnsi="Work Sans Light" w:cs="Times New Roman"/>
          <w:b/>
          <w:i/>
          <w:lang w:eastAsia="es-CO"/>
        </w:rPr>
        <w:t>(i)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 que la actuación se surta sin dilaciones injustificadas; y </w:t>
      </w:r>
      <w:r w:rsidRPr="00F405F1">
        <w:rPr>
          <w:rFonts w:ascii="Work Sans Light" w:eastAsia="Times New Roman" w:hAnsi="Work Sans Light" w:cs="Times New Roman"/>
          <w:b/>
          <w:i/>
          <w:lang w:eastAsia="es-CO"/>
        </w:rPr>
        <w:t>(ii)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 </w:t>
      </w:r>
      <w:r w:rsidRPr="00F405F1">
        <w:rPr>
          <w:rFonts w:ascii="Work Sans Light" w:eastAsia="Times New Roman" w:hAnsi="Work Sans Light" w:cs="Times New Roman"/>
          <w:i/>
          <w:u w:val="single"/>
          <w:lang w:eastAsia="es-CO"/>
        </w:rPr>
        <w:t>que la actuación se adelante con el pleno respeto de las formas propias previstas en el ordenamiento jurídico</w:t>
      </w:r>
      <w:r w:rsidRPr="00D73AEA">
        <w:rPr>
          <w:rFonts w:ascii="Work Sans Light" w:eastAsia="Times New Roman" w:hAnsi="Work Sans Light" w:cs="Times New Roman"/>
          <w:i/>
          <w:lang w:eastAsia="es-CO"/>
        </w:rPr>
        <w:t xml:space="preserve">” </w:t>
      </w:r>
      <w:r w:rsidRPr="00D15026">
        <w:rPr>
          <w:rFonts w:ascii="Work Sans Light" w:eastAsia="Times New Roman" w:hAnsi="Work Sans Light" w:cs="Times New Roman"/>
          <w:lang w:eastAsia="es-CO"/>
        </w:rPr>
        <w:t>(Negrillas y subrayado propios).</w:t>
      </w:r>
    </w:p>
    <w:p w14:paraId="6D1BD235" w14:textId="77777777" w:rsidR="00655970" w:rsidRDefault="00655970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5F5C20A1" w14:textId="050EB4FB" w:rsidR="00655970" w:rsidRDefault="00655970" w:rsidP="0065597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655970">
        <w:rPr>
          <w:rFonts w:ascii="Work Sans Light" w:eastAsia="Times New Roman" w:hAnsi="Work Sans Light" w:cs="Times New Roman"/>
          <w:lang w:eastAsia="es-CO"/>
        </w:rPr>
        <w:lastRenderedPageBreak/>
        <w:t>Que el artículo 209 de la Constitución Política de C</w:t>
      </w:r>
      <w:r>
        <w:rPr>
          <w:rFonts w:ascii="Work Sans Light" w:eastAsia="Times New Roman" w:hAnsi="Work Sans Light" w:cs="Times New Roman"/>
          <w:lang w:eastAsia="es-CO"/>
        </w:rPr>
        <w:t xml:space="preserve">olombia consagra que la función </w:t>
      </w:r>
      <w:r w:rsidRPr="00655970">
        <w:rPr>
          <w:rFonts w:ascii="Work Sans Light" w:eastAsia="Times New Roman" w:hAnsi="Work Sans Light" w:cs="Times New Roman"/>
          <w:lang w:eastAsia="es-CO"/>
        </w:rPr>
        <w:t>administrativa está al servicio de los intereses generales</w:t>
      </w:r>
      <w:r>
        <w:rPr>
          <w:rFonts w:ascii="Work Sans Light" w:eastAsia="Times New Roman" w:hAnsi="Work Sans Light" w:cs="Times New Roman"/>
          <w:lang w:eastAsia="es-CO"/>
        </w:rPr>
        <w:t xml:space="preserve"> y se desarrolla con fundamento </w:t>
      </w:r>
      <w:r w:rsidRPr="00655970">
        <w:rPr>
          <w:rFonts w:ascii="Work Sans Light" w:eastAsia="Times New Roman" w:hAnsi="Work Sans Light" w:cs="Times New Roman"/>
          <w:lang w:eastAsia="es-CO"/>
        </w:rPr>
        <w:t>en los principios de igualdad, moralidad, eficacia, econo</w:t>
      </w:r>
      <w:r>
        <w:rPr>
          <w:rFonts w:ascii="Work Sans Light" w:eastAsia="Times New Roman" w:hAnsi="Work Sans Light" w:cs="Times New Roman"/>
          <w:lang w:eastAsia="es-CO"/>
        </w:rPr>
        <w:t xml:space="preserve">mía, celeridad, imparcialidad y </w:t>
      </w:r>
      <w:r w:rsidRPr="00655970">
        <w:rPr>
          <w:rFonts w:ascii="Work Sans Light" w:eastAsia="Times New Roman" w:hAnsi="Work Sans Light" w:cs="Times New Roman"/>
          <w:lang w:eastAsia="es-CO"/>
        </w:rPr>
        <w:t>publicidad, mediante la descentralización, la dele</w:t>
      </w:r>
      <w:r>
        <w:rPr>
          <w:rFonts w:ascii="Work Sans Light" w:eastAsia="Times New Roman" w:hAnsi="Work Sans Light" w:cs="Times New Roman"/>
          <w:lang w:eastAsia="es-CO"/>
        </w:rPr>
        <w:t xml:space="preserve">gación y la desconcentración de </w:t>
      </w:r>
      <w:r w:rsidRPr="00655970">
        <w:rPr>
          <w:rFonts w:ascii="Work Sans Light" w:eastAsia="Times New Roman" w:hAnsi="Work Sans Light" w:cs="Times New Roman"/>
          <w:lang w:eastAsia="es-CO"/>
        </w:rPr>
        <w:t>funciones</w:t>
      </w:r>
      <w:r>
        <w:rPr>
          <w:rFonts w:ascii="Work Sans Light" w:eastAsia="Times New Roman" w:hAnsi="Work Sans Light" w:cs="Times New Roman"/>
          <w:lang w:eastAsia="es-CO"/>
        </w:rPr>
        <w:t>.</w:t>
      </w:r>
    </w:p>
    <w:p w14:paraId="69AEE273" w14:textId="77777777" w:rsidR="00F47442" w:rsidRDefault="00F47442" w:rsidP="0065597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5324258" w14:textId="356B7BEC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>Que en la actualidad la Dirección Técnica de Inspección y Vigilancia cuenta con un cumulo de procesos que devienen de cuantías ínfimas</w:t>
      </w:r>
      <w:r w:rsidRPr="00F47442">
        <w:t xml:space="preserve"> </w:t>
      </w:r>
      <w:r w:rsidRPr="00F47442">
        <w:rPr>
          <w:rFonts w:ascii="Work Sans Light" w:eastAsia="Times New Roman" w:hAnsi="Work Sans Light" w:cs="Times New Roman"/>
          <w:lang w:eastAsia="es-CO"/>
        </w:rPr>
        <w:t>que vulneran los princ</w:t>
      </w:r>
      <w:r>
        <w:rPr>
          <w:rFonts w:ascii="Work Sans Light" w:eastAsia="Times New Roman" w:hAnsi="Work Sans Light" w:cs="Times New Roman"/>
          <w:lang w:eastAsia="es-CO"/>
        </w:rPr>
        <w:t xml:space="preserve">ipios de economía, austeridad y </w:t>
      </w:r>
      <w:r w:rsidRPr="00F47442">
        <w:rPr>
          <w:rFonts w:ascii="Work Sans Light" w:eastAsia="Times New Roman" w:hAnsi="Work Sans Light" w:cs="Times New Roman"/>
          <w:lang w:eastAsia="es-CO"/>
        </w:rPr>
        <w:t>racionalidad, ya que resulta más costoso poner en movim</w:t>
      </w:r>
      <w:r>
        <w:rPr>
          <w:rFonts w:ascii="Work Sans Light" w:eastAsia="Times New Roman" w:hAnsi="Work Sans Light" w:cs="Times New Roman"/>
          <w:lang w:eastAsia="es-CO"/>
        </w:rPr>
        <w:t xml:space="preserve">iento el aparato administrativo </w:t>
      </w:r>
      <w:r w:rsidRPr="00F47442">
        <w:rPr>
          <w:rFonts w:ascii="Work Sans Light" w:eastAsia="Times New Roman" w:hAnsi="Work Sans Light" w:cs="Times New Roman"/>
          <w:lang w:eastAsia="es-CO"/>
        </w:rPr>
        <w:t>sancionatorio de la Entidad, frente a las infracciones</w:t>
      </w:r>
      <w:r>
        <w:rPr>
          <w:rFonts w:ascii="Work Sans Light" w:eastAsia="Times New Roman" w:hAnsi="Work Sans Light" w:cs="Times New Roman"/>
          <w:lang w:eastAsia="es-CO"/>
        </w:rPr>
        <w:t xml:space="preserve"> y decomisos efectuados, lo que </w:t>
      </w:r>
      <w:r w:rsidRPr="00F47442">
        <w:rPr>
          <w:rFonts w:ascii="Work Sans Light" w:eastAsia="Times New Roman" w:hAnsi="Work Sans Light" w:cs="Times New Roman"/>
          <w:lang w:eastAsia="es-CO"/>
        </w:rPr>
        <w:t xml:space="preserve">genera congestión en el </w:t>
      </w:r>
      <w:r>
        <w:rPr>
          <w:rFonts w:ascii="Work Sans Light" w:eastAsia="Times New Roman" w:hAnsi="Work Sans Light" w:cs="Times New Roman"/>
          <w:lang w:eastAsia="es-CO"/>
        </w:rPr>
        <w:t>dicha dependencia; razón por la cual, se hace necesario delegar competencias relacionadas con la sustanciación y expedición del acto administrativo decisorio de primera o única instancia según corresponda.</w:t>
      </w:r>
    </w:p>
    <w:p w14:paraId="777DD530" w14:textId="77777777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31688514" w14:textId="225D2D72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la Direcciones Regionales de la Autoridad Nacional de Acuicultura y Pesca – AUNAP al tenor de lo referido en el artículo 17 del Decreto 4181 de 2011 establece: </w:t>
      </w:r>
      <w:r>
        <w:rPr>
          <w:rFonts w:ascii="Work Sans Light" w:eastAsia="Times New Roman" w:hAnsi="Work Sans Light" w:cs="Times New Roman"/>
          <w:i/>
          <w:lang w:eastAsia="es-CO"/>
        </w:rPr>
        <w:t>“</w:t>
      </w:r>
      <w:r>
        <w:rPr>
          <w:rFonts w:ascii="Work Sans Light" w:eastAsia="Times New Roman" w:hAnsi="Work Sans Light" w:cs="Times New Roman"/>
          <w:b/>
          <w:i/>
          <w:lang w:eastAsia="es-CO"/>
        </w:rPr>
        <w:t xml:space="preserve">1. </w:t>
      </w:r>
      <w:r w:rsidRPr="00F47442">
        <w:rPr>
          <w:rFonts w:ascii="Work Sans Light" w:eastAsia="Times New Roman" w:hAnsi="Work Sans Light" w:cs="Times New Roman"/>
          <w:i/>
          <w:u w:val="single"/>
          <w:lang w:eastAsia="es-CO"/>
        </w:rPr>
        <w:t>Ejecutar las políticas, planes, programas y proyectos de competencia de la AUNAP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en su correspondiente jurisdicción</w:t>
      </w:r>
      <w:r w:rsidRPr="00F47442">
        <w:rPr>
          <w:rFonts w:ascii="Work Sans Light" w:eastAsia="Times New Roman" w:hAnsi="Work Sans Light" w:cs="Times New Roman"/>
          <w:i/>
          <w:u w:val="single"/>
          <w:lang w:eastAsia="es-CO"/>
        </w:rPr>
        <w:t>, de conformidad con los lineamientos y delegaciones señalados por el Director General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y adelantar el seguimiento y evaluación de los mismos</w:t>
      </w:r>
      <w:r>
        <w:rPr>
          <w:rFonts w:ascii="Work Sans Light" w:eastAsia="Times New Roman" w:hAnsi="Work Sans Light" w:cs="Times New Roman"/>
          <w:i/>
          <w:lang w:eastAsia="es-CO"/>
        </w:rPr>
        <w:t xml:space="preserve">. (…) </w:t>
      </w:r>
      <w:r w:rsidRPr="00F47442">
        <w:rPr>
          <w:rFonts w:ascii="Work Sans Light" w:eastAsia="Times New Roman" w:hAnsi="Work Sans Light" w:cs="Times New Roman"/>
          <w:b/>
          <w:i/>
          <w:lang w:eastAsia="es-CO"/>
        </w:rPr>
        <w:t>9.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</w:t>
      </w:r>
      <w:r w:rsidRPr="00F47442">
        <w:rPr>
          <w:rFonts w:ascii="Work Sans Light" w:eastAsia="Times New Roman" w:hAnsi="Work Sans Light" w:cs="Times New Roman"/>
          <w:i/>
          <w:u w:val="single"/>
          <w:lang w:eastAsia="es-CO"/>
        </w:rPr>
        <w:t>Expedir los actos administrativos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y celebrar los contratos </w:t>
      </w:r>
      <w:r w:rsidRPr="00F47442">
        <w:rPr>
          <w:rFonts w:ascii="Work Sans Light" w:eastAsia="Times New Roman" w:hAnsi="Work Sans Light" w:cs="Times New Roman"/>
          <w:i/>
          <w:u w:val="single"/>
          <w:lang w:eastAsia="es-CO"/>
        </w:rPr>
        <w:t>que sean requeridos para el cumplimiento de sus funciones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, de conformidad con la </w:t>
      </w:r>
      <w:r w:rsidRPr="00F47442">
        <w:rPr>
          <w:rFonts w:ascii="Work Sans Light" w:eastAsia="Times New Roman" w:hAnsi="Work Sans Light" w:cs="Times New Roman"/>
          <w:i/>
          <w:u w:val="single"/>
          <w:lang w:eastAsia="es-CO"/>
        </w:rPr>
        <w:t xml:space="preserve">delegación que </w:t>
      </w:r>
      <w:r>
        <w:rPr>
          <w:rFonts w:ascii="Work Sans Light" w:eastAsia="Times New Roman" w:hAnsi="Work Sans Light" w:cs="Times New Roman"/>
          <w:i/>
          <w:u w:val="single"/>
          <w:lang w:eastAsia="es-CO"/>
        </w:rPr>
        <w:t>establezca la Dirección General</w:t>
      </w:r>
      <w:r>
        <w:rPr>
          <w:rFonts w:ascii="Work Sans Light" w:eastAsia="Times New Roman" w:hAnsi="Work Sans Light" w:cs="Times New Roman"/>
          <w:i/>
          <w:lang w:eastAsia="es-CO"/>
        </w:rPr>
        <w:t>”.</w:t>
      </w:r>
    </w:p>
    <w:p w14:paraId="6BA53F8F" w14:textId="77777777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1987D16C" w14:textId="77777777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sobre la delegación, el artículo 9° de la Ley 489 de 1998 predica: </w:t>
      </w:r>
    </w:p>
    <w:p w14:paraId="00782FE5" w14:textId="77777777" w:rsid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3CA9DA93" w14:textId="0A79DF4C" w:rsidR="00F47442" w:rsidRPr="00F47442" w:rsidRDefault="00F47442" w:rsidP="00F47442">
      <w:pPr>
        <w:autoSpaceDN w:val="0"/>
        <w:spacing w:after="0" w:line="240" w:lineRule="auto"/>
        <w:ind w:left="708"/>
        <w:jc w:val="both"/>
        <w:rPr>
          <w:rFonts w:ascii="Work Sans Light" w:eastAsia="Times New Roman" w:hAnsi="Work Sans Light" w:cs="Times New Roman"/>
          <w:i/>
          <w:lang w:eastAsia="es-CO"/>
        </w:rPr>
      </w:pPr>
      <w:r>
        <w:rPr>
          <w:rFonts w:ascii="Work Sans Light" w:eastAsia="Times New Roman" w:hAnsi="Work Sans Light" w:cs="Times New Roman"/>
          <w:i/>
          <w:lang w:eastAsia="es-CO"/>
        </w:rPr>
        <w:t>“</w:t>
      </w:r>
      <w:r w:rsidRPr="00F76C0F">
        <w:rPr>
          <w:rFonts w:ascii="Work Sans Light" w:eastAsia="Times New Roman" w:hAnsi="Work Sans Light" w:cs="Times New Roman"/>
          <w:b/>
          <w:i/>
          <w:lang w:eastAsia="es-CO"/>
        </w:rPr>
        <w:t>Las autoridades administrativas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, en virtud de lo dispuesto en la Constitución Política y de conformidad con la presente ley, </w:t>
      </w:r>
      <w:r w:rsidRPr="00F76C0F">
        <w:rPr>
          <w:rFonts w:ascii="Work Sans Light" w:eastAsia="Times New Roman" w:hAnsi="Work Sans Light" w:cs="Times New Roman"/>
          <w:i/>
          <w:u w:val="single"/>
          <w:lang w:eastAsia="es-CO"/>
        </w:rPr>
        <w:t>podrán mediante acto de delegación, transferir el ejercicio de funciones a sus colaboradores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o a otras autoridades, con funciones afines o complementarias.</w:t>
      </w:r>
    </w:p>
    <w:p w14:paraId="5B33205A" w14:textId="77777777" w:rsidR="00F47442" w:rsidRPr="00F47442" w:rsidRDefault="00F47442" w:rsidP="00F47442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i/>
          <w:lang w:eastAsia="es-CO"/>
        </w:rPr>
      </w:pPr>
    </w:p>
    <w:p w14:paraId="3D84464A" w14:textId="74C82489" w:rsidR="00F47442" w:rsidRPr="00F47442" w:rsidRDefault="00F47442" w:rsidP="00F47442">
      <w:pPr>
        <w:autoSpaceDN w:val="0"/>
        <w:spacing w:after="0" w:line="240" w:lineRule="auto"/>
        <w:ind w:left="708"/>
        <w:jc w:val="both"/>
        <w:rPr>
          <w:rFonts w:ascii="Work Sans Light" w:eastAsia="Times New Roman" w:hAnsi="Work Sans Light" w:cs="Times New Roman"/>
          <w:i/>
          <w:lang w:eastAsia="es-CO"/>
        </w:rPr>
      </w:pP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Sin perjuicio de las delegaciones previstas en leyes orgánicas, en todo caso, los ministros, directores de departamento administrativo, superintendentes, </w:t>
      </w:r>
      <w:r w:rsidRPr="00F76C0F">
        <w:rPr>
          <w:rFonts w:ascii="Work Sans Light" w:eastAsia="Times New Roman" w:hAnsi="Work Sans Light" w:cs="Times New Roman"/>
          <w:i/>
          <w:u w:val="single"/>
          <w:lang w:eastAsia="es-CO"/>
        </w:rPr>
        <w:t>representantes legales de organismos y entidades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</w:t>
      </w:r>
      <w:r w:rsidRPr="00F76C0F">
        <w:rPr>
          <w:rFonts w:ascii="Work Sans Light" w:eastAsia="Times New Roman" w:hAnsi="Work Sans Light" w:cs="Times New Roman"/>
          <w:i/>
          <w:u w:val="single"/>
          <w:lang w:eastAsia="es-CO"/>
        </w:rPr>
        <w:t>que posean una estructura independiente y autonomía administrativa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</w:t>
      </w:r>
      <w:r w:rsidRPr="00F76C0F">
        <w:rPr>
          <w:rFonts w:ascii="Work Sans Light" w:eastAsia="Times New Roman" w:hAnsi="Work Sans Light" w:cs="Times New Roman"/>
          <w:b/>
          <w:i/>
          <w:lang w:eastAsia="es-CO"/>
        </w:rPr>
        <w:t>podrán delegar la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 xml:space="preserve"> atención y </w:t>
      </w:r>
      <w:r w:rsidRPr="00F76C0F">
        <w:rPr>
          <w:rFonts w:ascii="Work Sans Light" w:eastAsia="Times New Roman" w:hAnsi="Work Sans Light" w:cs="Times New Roman"/>
          <w:b/>
          <w:i/>
          <w:lang w:eastAsia="es-CO"/>
        </w:rPr>
        <w:t>decisión de los asuntos a ellos confiados por la ley y los actos orgánicos respectivos</w:t>
      </w:r>
      <w:r w:rsidRPr="00F47442">
        <w:rPr>
          <w:rFonts w:ascii="Work Sans Light" w:eastAsia="Times New Roman" w:hAnsi="Work Sans Light" w:cs="Times New Roman"/>
          <w:i/>
          <w:lang w:eastAsia="es-CO"/>
        </w:rPr>
        <w:t>, en los empleados públicos de los niveles directivo y asesor vinculados al organismo correspondiente, con el propósito de dar desarrollo a los principios de la función administrativa enunciados en el artículo 209 de la Constitución Política y en la presente ley</w:t>
      </w:r>
      <w:r>
        <w:rPr>
          <w:rFonts w:ascii="Work Sans Light" w:eastAsia="Times New Roman" w:hAnsi="Work Sans Light" w:cs="Times New Roman"/>
          <w:i/>
          <w:lang w:eastAsia="es-CO"/>
        </w:rPr>
        <w:t>”</w:t>
      </w:r>
    </w:p>
    <w:p w14:paraId="33FFC28C" w14:textId="77777777" w:rsidR="00ED4B12" w:rsidRDefault="00ED4B12" w:rsidP="00D73AEA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291F6BB4" w14:textId="0DFAD896" w:rsidR="008B7DDD" w:rsidRDefault="00F76C0F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>
        <w:rPr>
          <w:rFonts w:ascii="Work Sans Light" w:eastAsia="Times New Roman" w:hAnsi="Work Sans Light" w:cs="Times New Roman"/>
          <w:lang w:eastAsia="es-CO"/>
        </w:rPr>
        <w:t xml:space="preserve">Que como puede evidenciarse de los preceptos referidos, es procedente que se realice la delegación en los Directores Regionales, el trámite de investigación y definición de procesos </w:t>
      </w:r>
      <w:r w:rsidR="003A1228">
        <w:rPr>
          <w:rFonts w:ascii="Work Sans Light" w:eastAsia="Times New Roman" w:hAnsi="Work Sans Light" w:cs="Times New Roman"/>
          <w:lang w:eastAsia="es-CO"/>
        </w:rPr>
        <w:t xml:space="preserve"> sancionatorios </w:t>
      </w:r>
      <w:r>
        <w:rPr>
          <w:rFonts w:ascii="Work Sans Light" w:eastAsia="Times New Roman" w:hAnsi="Work Sans Light" w:cs="Times New Roman"/>
          <w:lang w:eastAsia="es-CO"/>
        </w:rPr>
        <w:t xml:space="preserve">de cuantías inferiores </w:t>
      </w:r>
      <w:r w:rsidRPr="00F76C0F">
        <w:rPr>
          <w:rFonts w:ascii="Work Sans Light" w:eastAsia="Times New Roman" w:hAnsi="Work Sans Light" w:cs="Times New Roman"/>
          <w:lang w:eastAsia="es-CO"/>
        </w:rPr>
        <w:t>a Un (1) Salario Mínimo Mensual Legal Vigente</w:t>
      </w:r>
      <w:r w:rsidR="00BB0794">
        <w:rPr>
          <w:rFonts w:ascii="Work Sans Light" w:eastAsia="Times New Roman" w:hAnsi="Work Sans Light" w:cs="Times New Roman"/>
          <w:lang w:eastAsia="es-CO"/>
        </w:rPr>
        <w:t>.</w:t>
      </w:r>
    </w:p>
    <w:p w14:paraId="526C238F" w14:textId="77777777" w:rsidR="00F76C0F" w:rsidRDefault="00F76C0F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60FF6879" w14:textId="6A6BE348" w:rsidR="006A4425" w:rsidRDefault="006A0BD5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Que la AUNAP en atención a lo establecido en el numeral 8 del artículo 8 de la Ley 1437 de 2011 y el Decreto 270 de 2017, y con el propósito de recibir opiniones, sugerencias o propuestas alternativas; en el periodo comprendido entre el </w:t>
      </w:r>
      <w:r w:rsidR="007463C6">
        <w:rPr>
          <w:rFonts w:ascii="Work Sans Light" w:eastAsia="Times New Roman" w:hAnsi="Work Sans Light" w:cs="Times New Roman"/>
          <w:lang w:eastAsia="es-CO"/>
        </w:rPr>
        <w:t>XXXXX</w:t>
      </w:r>
      <w:r w:rsidRPr="009E550F">
        <w:rPr>
          <w:rFonts w:ascii="Work Sans Light" w:eastAsia="Times New Roman" w:hAnsi="Work Sans Light" w:cs="Times New Roman"/>
          <w:lang w:eastAsia="es-CO"/>
        </w:rPr>
        <w:t xml:space="preserve"> y el </w:t>
      </w:r>
      <w:r w:rsidR="007463C6">
        <w:rPr>
          <w:rFonts w:ascii="Work Sans Light" w:eastAsia="Times New Roman" w:hAnsi="Work Sans Light" w:cs="Times New Roman"/>
          <w:lang w:eastAsia="es-CO"/>
        </w:rPr>
        <w:t xml:space="preserve">XXXXX </w:t>
      </w:r>
      <w:r w:rsidRPr="009E550F">
        <w:rPr>
          <w:rFonts w:ascii="Work Sans Light" w:eastAsia="Times New Roman" w:hAnsi="Work Sans Light" w:cs="Times New Roman"/>
          <w:lang w:eastAsia="es-CO"/>
        </w:rPr>
        <w:t xml:space="preserve">de </w:t>
      </w:r>
      <w:r w:rsidR="007463C6">
        <w:rPr>
          <w:rFonts w:ascii="Work Sans Light" w:eastAsia="Times New Roman" w:hAnsi="Work Sans Light" w:cs="Times New Roman"/>
          <w:lang w:eastAsia="es-CO"/>
        </w:rPr>
        <w:t>XXXXXXX</w:t>
      </w:r>
      <w:r w:rsidR="007463C6" w:rsidRPr="009E550F">
        <w:rPr>
          <w:rFonts w:ascii="Work Sans Light" w:eastAsia="Times New Roman" w:hAnsi="Work Sans Light" w:cs="Times New Roman"/>
          <w:lang w:eastAsia="es-CO"/>
        </w:rPr>
        <w:t xml:space="preserve"> </w:t>
      </w:r>
      <w:r w:rsidRPr="009E550F">
        <w:rPr>
          <w:rFonts w:ascii="Work Sans Light" w:eastAsia="Times New Roman" w:hAnsi="Work Sans Light" w:cs="Times New Roman"/>
          <w:lang w:eastAsia="es-CO"/>
        </w:rPr>
        <w:t>de 202</w:t>
      </w:r>
      <w:r w:rsidR="00C7346E">
        <w:rPr>
          <w:rFonts w:ascii="Work Sans Light" w:eastAsia="Times New Roman" w:hAnsi="Work Sans Light" w:cs="Times New Roman"/>
          <w:lang w:eastAsia="es-CO"/>
        </w:rPr>
        <w:t>2</w:t>
      </w:r>
      <w:r w:rsidRPr="009E550F">
        <w:rPr>
          <w:rFonts w:ascii="Work Sans Light" w:eastAsia="Times New Roman" w:hAnsi="Work Sans Light" w:cs="Times New Roman"/>
          <w:lang w:eastAsia="es-CO"/>
        </w:rPr>
        <w:t>,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publicó en su página oficial en internet el contenido de la presente resolución, recibiendo consideraciones y recomendaciones por parte de la red de pescadores deportivos de Colombia.</w:t>
      </w:r>
      <w:r w:rsidR="00FA3B18"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</w:p>
    <w:p w14:paraId="4BE9F781" w14:textId="2E3CBC6E" w:rsidR="007F3132" w:rsidRDefault="007F3132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598ACCBC" w14:textId="4EFCC672" w:rsidR="006E64E4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>Que en mérito de lo expuesto,</w:t>
      </w:r>
    </w:p>
    <w:p w14:paraId="5255D1A3" w14:textId="77777777" w:rsidR="000A0C99" w:rsidRPr="001F3AD8" w:rsidRDefault="000A0C9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737524DA" w14:textId="7639DD59" w:rsidR="000A0C99" w:rsidRPr="007F3132" w:rsidRDefault="00E13D39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>R E S U E L V E</w:t>
      </w:r>
    </w:p>
    <w:p w14:paraId="40DBB96B" w14:textId="77777777" w:rsidR="006E64E4" w:rsidRPr="001F3AD8" w:rsidRDefault="006E64E4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4C2BBC64" w14:textId="5E306C2C" w:rsidR="00A610D4" w:rsidRPr="00A610D4" w:rsidRDefault="00523ED3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 xml:space="preserve">ARTÍCULO </w:t>
      </w:r>
      <w:r w:rsidR="004D67CE" w:rsidRPr="007F3132">
        <w:rPr>
          <w:rFonts w:ascii="Work Sans Light" w:eastAsia="Times New Roman" w:hAnsi="Work Sans Light" w:cs="Times New Roman"/>
          <w:b/>
          <w:bCs/>
          <w:lang w:eastAsia="es-CO"/>
        </w:rPr>
        <w:t>PRIMERO</w:t>
      </w: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 xml:space="preserve">: 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>La Dirección Téc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>nica de Inspección y Vigilancia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 xml:space="preserve">, conforme a lo expuesto 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>en los numerales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 xml:space="preserve"> cuarto (4)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 xml:space="preserve"> y sexto (6)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 xml:space="preserve"> del artículo 16 del Decreto 4181 de 2011, en ca</w:t>
      </w:r>
      <w:r w:rsidR="00790B59">
        <w:rPr>
          <w:rFonts w:ascii="Work Sans Light" w:eastAsia="Times New Roman" w:hAnsi="Work Sans Light" w:cs="Times New Roman"/>
          <w:bCs/>
          <w:lang w:eastAsia="es-CO"/>
        </w:rPr>
        <w:t>beza del Director de esta área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>, será la encargada de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 xml:space="preserve"> realizar la investigación e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 xml:space="preserve"> imponer las respectivas sanciones a que haya lugar en primera instancia y resolver el recurso de reposición contra las misma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>s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>, para todos los procesos administrativos de carácter sancionatorios por infracción a la Ley 13 de 1990 (Estatuto General de Pesca), o norma que la modifique o sustituya, en tratándose de pesca mar</w:t>
      </w:r>
      <w:r w:rsidR="00A610D4">
        <w:rPr>
          <w:rFonts w:ascii="Work Sans Light" w:eastAsia="Times New Roman" w:hAnsi="Work Sans Light" w:cs="Times New Roman"/>
          <w:bCs/>
          <w:lang w:eastAsia="es-CO"/>
        </w:rPr>
        <w:t>in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 xml:space="preserve">a </w:t>
      </w:r>
      <w:r w:rsidR="003A1228">
        <w:rPr>
          <w:rFonts w:ascii="Work Sans Light" w:eastAsia="Times New Roman" w:hAnsi="Work Sans Light" w:cs="Times New Roman"/>
          <w:bCs/>
          <w:lang w:eastAsia="es-CO"/>
        </w:rPr>
        <w:t xml:space="preserve">para lo cual se seguirá el procedimiento consagrado en </w:t>
      </w:r>
      <w:r w:rsidR="00A610D4" w:rsidRPr="00A610D4">
        <w:rPr>
          <w:rFonts w:ascii="Work Sans Light" w:eastAsia="Times New Roman" w:hAnsi="Work Sans Light" w:cs="Times New Roman"/>
          <w:bCs/>
          <w:lang w:eastAsia="es-CO"/>
        </w:rPr>
        <w:t>la Ley 1851 de 2017.</w:t>
      </w:r>
    </w:p>
    <w:p w14:paraId="44E718E0" w14:textId="77777777" w:rsidR="00A610D4" w:rsidRPr="00A610D4" w:rsidRDefault="00A610D4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5619EA19" w14:textId="048709BD" w:rsidR="00886422" w:rsidRDefault="00A610D4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 w:rsidRPr="00A610D4">
        <w:rPr>
          <w:rFonts w:ascii="Work Sans Light" w:eastAsia="Times New Roman" w:hAnsi="Work Sans Light" w:cs="Times New Roman"/>
          <w:b/>
          <w:bCs/>
          <w:lang w:eastAsia="es-CO"/>
        </w:rPr>
        <w:lastRenderedPageBreak/>
        <w:t>PARÁGRAFO</w:t>
      </w:r>
      <w:r w:rsidR="00894680">
        <w:rPr>
          <w:rFonts w:ascii="Work Sans Light" w:eastAsia="Times New Roman" w:hAnsi="Work Sans Light" w:cs="Times New Roman"/>
          <w:b/>
          <w:bCs/>
          <w:lang w:eastAsia="es-CO"/>
        </w:rPr>
        <w:t xml:space="preserve"> PRIMERO</w:t>
      </w:r>
      <w:r w:rsidRPr="00A610D4">
        <w:rPr>
          <w:rFonts w:ascii="Work Sans Light" w:eastAsia="Times New Roman" w:hAnsi="Work Sans Light" w:cs="Times New Roman"/>
          <w:b/>
          <w:bCs/>
          <w:lang w:eastAsia="es-CO"/>
        </w:rPr>
        <w:t>: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Los trámites de Notificación de los actos administrativos que surjan de las investigaciones administrativas sancionatorias en pesca marítima, adelantadas en primera instancia, corresponderá a la Dirección Técnica de Inspección y vigilancia, así como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 de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los recursos de reposición que sean interpuestos contra los actos administrativos que resuelven la investigación administrativa en primera instancia</w:t>
      </w:r>
      <w:r>
        <w:rPr>
          <w:rFonts w:ascii="Work Sans Light" w:eastAsia="Times New Roman" w:hAnsi="Work Sans Light" w:cs="Times New Roman"/>
          <w:bCs/>
          <w:lang w:eastAsia="es-CO"/>
        </w:rPr>
        <w:t>.</w:t>
      </w:r>
    </w:p>
    <w:p w14:paraId="4B8D4B23" w14:textId="77777777" w:rsidR="00894680" w:rsidRDefault="00894680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06884F64" w14:textId="3A7A06DC" w:rsidR="00894680" w:rsidRDefault="00894680" w:rsidP="0089468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PARÁGRAFO SEGUNDO: </w:t>
      </w:r>
      <w:r w:rsidRPr="00894680">
        <w:rPr>
          <w:rFonts w:ascii="Work Sans Light" w:eastAsia="Times New Roman" w:hAnsi="Work Sans Light" w:cs="Times New Roman"/>
          <w:bCs/>
          <w:lang w:eastAsia="es-CO"/>
        </w:rPr>
        <w:t xml:space="preserve">La apelación por las sanciones impuestas de conformidad con lo manifestado en el 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presente </w:t>
      </w:r>
      <w:r w:rsidRPr="00894680">
        <w:rPr>
          <w:rFonts w:ascii="Work Sans Light" w:eastAsia="Times New Roman" w:hAnsi="Work Sans Light" w:cs="Times New Roman"/>
          <w:bCs/>
          <w:lang w:eastAsia="es-CO"/>
        </w:rPr>
        <w:t>artículo serán resueltas por la Dirección General, previa proyección y revisión del recurso por parte de la Oficina Asesora Jurídica de la Entidad.</w:t>
      </w:r>
    </w:p>
    <w:p w14:paraId="766607B3" w14:textId="77777777" w:rsidR="00894680" w:rsidRDefault="00894680" w:rsidP="0089468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43425FCE" w14:textId="499124E3" w:rsidR="00894680" w:rsidRPr="00894680" w:rsidRDefault="00894680" w:rsidP="0089468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PARÁGRAFO TERCERO: </w:t>
      </w:r>
      <w:r w:rsidRPr="00894680">
        <w:rPr>
          <w:rFonts w:ascii="Work Sans Light" w:eastAsia="Times New Roman" w:hAnsi="Work Sans Light" w:cs="Times New Roman"/>
          <w:bCs/>
          <w:lang w:eastAsia="es-CO"/>
        </w:rPr>
        <w:t>Los tramites de Notificación de los actos administrativos que surjan de las investigaciones administrativas sancionatorias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 por pesca marina</w:t>
      </w:r>
      <w:r w:rsidRPr="00894680">
        <w:rPr>
          <w:rFonts w:ascii="Work Sans Light" w:eastAsia="Times New Roman" w:hAnsi="Work Sans Light" w:cs="Times New Roman"/>
          <w:bCs/>
          <w:lang w:eastAsia="es-CO"/>
        </w:rPr>
        <w:t>, adelantadas en segunda instancia, corresponderá a la Oficina Asesora Jurídica, de conformidad con el artículo 12°, numeral 7° del Decreto 4181 de 2011.</w:t>
      </w:r>
    </w:p>
    <w:p w14:paraId="53AEA539" w14:textId="77777777" w:rsidR="00C03F56" w:rsidRPr="001F3AD8" w:rsidRDefault="00C03F56" w:rsidP="00C03F56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3D8E3E09" w14:textId="1DC5D22D" w:rsidR="00A610D4" w:rsidRPr="00A610D4" w:rsidRDefault="00A610D4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ARTÍCULO SEGUNDO: 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La Dirección Técnica de Inspección y Vigilancia, conforme a lo expuesto en </w:t>
      </w:r>
      <w:r>
        <w:rPr>
          <w:rFonts w:ascii="Work Sans Light" w:eastAsia="Times New Roman" w:hAnsi="Work Sans Light" w:cs="Times New Roman"/>
          <w:bCs/>
          <w:lang w:eastAsia="es-CO"/>
        </w:rPr>
        <w:t>los numerales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cuarto (04)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 y sexto (6)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del artículo 16 del Decreto 4181 de 2011, en cabeza del Director de esta área, será la encargada de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 realizar la investigación e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imponer las respectivas sanciones a que haya lugar en única instancia y resolver el recurso de reposición contra</w:t>
      </w:r>
      <w:bookmarkStart w:id="0" w:name="_GoBack"/>
      <w:bookmarkEnd w:id="0"/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las misma</w:t>
      </w:r>
      <w:r w:rsidR="00790B59">
        <w:rPr>
          <w:rFonts w:ascii="Work Sans Light" w:eastAsia="Times New Roman" w:hAnsi="Work Sans Light" w:cs="Times New Roman"/>
          <w:bCs/>
          <w:lang w:eastAsia="es-CO"/>
        </w:rPr>
        <w:t>s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de que trata el artículo 164 del Decreto 2256 de 1991 compilado en el artículo 2.16.15.3.3. del Decreto 1071 de 2015, para todos los procesos administrativos de carácter sancionatorios por infracción a la Ley 13 de 1990 (Estatuto General de Pesca), o norma que la modifique o sustituya, en tratándose de pesca continental</w:t>
      </w:r>
      <w:r w:rsidR="003A1228">
        <w:rPr>
          <w:rFonts w:ascii="Work Sans Light" w:eastAsia="Times New Roman" w:hAnsi="Work Sans Light" w:cs="Times New Roman"/>
          <w:bCs/>
          <w:lang w:eastAsia="es-CO"/>
        </w:rPr>
        <w:t>, para lo cual se seguirá el procedimiento consagrado en el artículo 47 y s.s. de la Ley 1437 de 2011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>.</w:t>
      </w:r>
    </w:p>
    <w:p w14:paraId="14EEC03B" w14:textId="77777777" w:rsidR="00A610D4" w:rsidRPr="00A610D4" w:rsidRDefault="00A610D4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6AB135E5" w14:textId="545C49EB" w:rsidR="00A610D4" w:rsidRDefault="00A610D4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 w:rsidRPr="00A610D4">
        <w:rPr>
          <w:rFonts w:ascii="Work Sans Light" w:eastAsia="Times New Roman" w:hAnsi="Work Sans Light" w:cs="Times New Roman"/>
          <w:b/>
          <w:bCs/>
          <w:lang w:eastAsia="es-CO"/>
        </w:rPr>
        <w:t>PARÁGRAFO:</w:t>
      </w:r>
      <w:r w:rsidRPr="00A610D4">
        <w:rPr>
          <w:rFonts w:ascii="Work Sans Light" w:eastAsia="Times New Roman" w:hAnsi="Work Sans Light" w:cs="Times New Roman"/>
          <w:bCs/>
          <w:lang w:eastAsia="es-CO"/>
        </w:rPr>
        <w:t xml:space="preserve"> Los trámites de Notificación de los actos administrativos que surjan de las investigaciones administrativas sancionatorias en pesca continental, adelantadas en única instancia, corresponderá a la Dirección Técnica de Inspección y vigilancia, así como los recursos de reposición que sean interpuestos contra los actos administrativos que resuelven la investigación administrativa</w:t>
      </w:r>
      <w:r>
        <w:rPr>
          <w:rFonts w:ascii="Work Sans Light" w:eastAsia="Times New Roman" w:hAnsi="Work Sans Light" w:cs="Times New Roman"/>
          <w:bCs/>
          <w:lang w:eastAsia="es-CO"/>
        </w:rPr>
        <w:t>.</w:t>
      </w:r>
    </w:p>
    <w:p w14:paraId="050EDACD" w14:textId="77777777" w:rsidR="00894680" w:rsidRDefault="00894680" w:rsidP="00A610D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25EC982E" w14:textId="0243F615" w:rsidR="00894680" w:rsidRDefault="00894680" w:rsidP="003A122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>ARTÍCULO TERCERO.</w:t>
      </w:r>
      <w:r w:rsidR="003A1228" w:rsidRPr="003A1228">
        <w:t xml:space="preserve"> </w:t>
      </w:r>
      <w:r w:rsidR="003A1228" w:rsidRPr="003A1228">
        <w:rPr>
          <w:rFonts w:ascii="Work Sans Light" w:eastAsia="Times New Roman" w:hAnsi="Work Sans Light" w:cs="Times New Roman"/>
          <w:bCs/>
          <w:lang w:eastAsia="es-CO"/>
        </w:rPr>
        <w:t>Con fundamento en los principios de austeridad, eficiencia, eficacia y economía procesal,</w:t>
      </w:r>
      <w:r w:rsidR="003A1228">
        <w:rPr>
          <w:rFonts w:ascii="Work Sans Light" w:eastAsia="Times New Roman" w:hAnsi="Work Sans Light" w:cs="Times New Roman"/>
          <w:bCs/>
          <w:lang w:eastAsia="es-CO"/>
        </w:rPr>
        <w:t xml:space="preserve"> en consonancia con los numerales  1 y 9 del artículo 17 del Decreto 4181 de 2011</w:t>
      </w:r>
      <w:r w:rsidR="004965ED">
        <w:rPr>
          <w:rFonts w:ascii="Work Sans Light" w:eastAsia="Times New Roman" w:hAnsi="Work Sans Light" w:cs="Times New Roman"/>
          <w:bCs/>
          <w:lang w:eastAsia="es-CO"/>
        </w:rPr>
        <w:t xml:space="preserve"> y 9 de la Ley 489 de 1998</w:t>
      </w:r>
      <w:r w:rsidR="003A1228">
        <w:rPr>
          <w:rFonts w:ascii="Work Sans Light" w:eastAsia="Times New Roman" w:hAnsi="Work Sans Light" w:cs="Times New Roman"/>
          <w:bCs/>
          <w:lang w:eastAsia="es-CO"/>
        </w:rPr>
        <w:t>,</w:t>
      </w:r>
      <w:r w:rsidR="003A1228" w:rsidRPr="003A1228">
        <w:rPr>
          <w:rFonts w:ascii="Work Sans Light" w:eastAsia="Times New Roman" w:hAnsi="Work Sans Light" w:cs="Times New Roman"/>
          <w:bCs/>
          <w:lang w:eastAsia="es-CO"/>
        </w:rPr>
        <w:t xml:space="preserve"> se delega </w:t>
      </w:r>
      <w:r w:rsidR="004965ED">
        <w:rPr>
          <w:rFonts w:ascii="Work Sans Light" w:eastAsia="Times New Roman" w:hAnsi="Work Sans Light" w:cs="Times New Roman"/>
          <w:bCs/>
          <w:lang w:eastAsia="es-CO"/>
        </w:rPr>
        <w:t>en</w:t>
      </w:r>
      <w:r w:rsidR="003A1228" w:rsidRPr="003A1228">
        <w:rPr>
          <w:rFonts w:ascii="Work Sans Light" w:eastAsia="Times New Roman" w:hAnsi="Work Sans Light" w:cs="Times New Roman"/>
          <w:bCs/>
          <w:lang w:eastAsia="es-CO"/>
        </w:rPr>
        <w:t xml:space="preserve"> los Directores Regionales, el trámite de </w:t>
      </w:r>
      <w:r w:rsidR="003A1228">
        <w:rPr>
          <w:rFonts w:ascii="Work Sans Light" w:eastAsia="Times New Roman" w:hAnsi="Work Sans Light" w:cs="Times New Roman"/>
          <w:bCs/>
          <w:lang w:eastAsia="es-CO"/>
        </w:rPr>
        <w:t xml:space="preserve">sustanciación </w:t>
      </w:r>
      <w:r w:rsidR="003A1228">
        <w:rPr>
          <w:rFonts w:ascii="Work Sans Light" w:eastAsia="Times New Roman" w:hAnsi="Work Sans Light" w:cs="Times New Roman"/>
          <w:lang w:eastAsia="es-CO"/>
        </w:rPr>
        <w:t>de investigación y definición de procesos  sancionatorios de cuantías inferiores</w:t>
      </w:r>
      <w:r w:rsidR="003A1228" w:rsidRPr="003A1228">
        <w:rPr>
          <w:rFonts w:ascii="Work Sans Light" w:eastAsia="Times New Roman" w:hAnsi="Work Sans Light" w:cs="Times New Roman"/>
          <w:bCs/>
          <w:lang w:eastAsia="es-CO"/>
        </w:rPr>
        <w:t xml:space="preserve"> a Un (1) Salario Mínimo Mensual Legal Vigente</w:t>
      </w:r>
      <w:r w:rsidR="00BB0794">
        <w:rPr>
          <w:rFonts w:ascii="Work Sans Light" w:eastAsia="Times New Roman" w:hAnsi="Work Sans Light" w:cs="Times New Roman"/>
          <w:bCs/>
          <w:lang w:eastAsia="es-CO"/>
        </w:rPr>
        <w:t>.</w:t>
      </w:r>
    </w:p>
    <w:p w14:paraId="1249C271" w14:textId="77777777" w:rsidR="004965ED" w:rsidRDefault="004965ED" w:rsidP="003A122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32B51AF4" w14:textId="3130D17B" w:rsidR="004965ED" w:rsidRDefault="004965ED" w:rsidP="004965ED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PARÁGRAFO PRIMERO. </w:t>
      </w:r>
      <w:r>
        <w:rPr>
          <w:rFonts w:ascii="Work Sans Light" w:eastAsia="Times New Roman" w:hAnsi="Work Sans Light" w:cs="Times New Roman"/>
          <w:bCs/>
          <w:lang w:eastAsia="es-CO"/>
        </w:rPr>
        <w:t>Las n</w:t>
      </w:r>
      <w:r w:rsidRPr="004965ED">
        <w:rPr>
          <w:rFonts w:ascii="Work Sans Light" w:eastAsia="Times New Roman" w:hAnsi="Work Sans Light" w:cs="Times New Roman"/>
          <w:bCs/>
          <w:lang w:eastAsia="es-CO"/>
        </w:rPr>
        <w:t xml:space="preserve">otificaciones de los actos 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administrativos surgidos de las </w:t>
      </w:r>
      <w:r w:rsidRPr="004965ED">
        <w:rPr>
          <w:rFonts w:ascii="Work Sans Light" w:eastAsia="Times New Roman" w:hAnsi="Work Sans Light" w:cs="Times New Roman"/>
          <w:bCs/>
          <w:lang w:eastAsia="es-CO"/>
        </w:rPr>
        <w:t>investigaciones administrativas sancionatorias sustanciadas por las Direccion</w:t>
      </w:r>
      <w:r>
        <w:rPr>
          <w:rFonts w:ascii="Work Sans Light" w:eastAsia="Times New Roman" w:hAnsi="Work Sans Light" w:cs="Times New Roman"/>
          <w:bCs/>
          <w:lang w:eastAsia="es-CO"/>
        </w:rPr>
        <w:t xml:space="preserve">es </w:t>
      </w:r>
      <w:r w:rsidRPr="004965ED">
        <w:rPr>
          <w:rFonts w:ascii="Work Sans Light" w:eastAsia="Times New Roman" w:hAnsi="Work Sans Light" w:cs="Times New Roman"/>
          <w:bCs/>
          <w:lang w:eastAsia="es-CO"/>
        </w:rPr>
        <w:t>Regional</w:t>
      </w:r>
      <w:r>
        <w:rPr>
          <w:rFonts w:ascii="Work Sans Light" w:eastAsia="Times New Roman" w:hAnsi="Work Sans Light" w:cs="Times New Roman"/>
          <w:bCs/>
          <w:lang w:eastAsia="es-CO"/>
        </w:rPr>
        <w:t>es, corresponderán a las mismas, y siempre se deberá incluir en la comunicación una copia dirigida a la Dirección Técnica de Inspección y Vigilancia</w:t>
      </w:r>
      <w:r w:rsidR="00790B59">
        <w:rPr>
          <w:rFonts w:ascii="Work Sans Light" w:eastAsia="Times New Roman" w:hAnsi="Work Sans Light" w:cs="Times New Roman"/>
          <w:bCs/>
          <w:lang w:eastAsia="es-CO"/>
        </w:rPr>
        <w:t xml:space="preserve"> para seguimiento</w:t>
      </w:r>
      <w:r>
        <w:rPr>
          <w:rFonts w:ascii="Work Sans Light" w:eastAsia="Times New Roman" w:hAnsi="Work Sans Light" w:cs="Times New Roman"/>
          <w:bCs/>
          <w:lang w:eastAsia="es-CO"/>
        </w:rPr>
        <w:t>.</w:t>
      </w:r>
    </w:p>
    <w:p w14:paraId="3F972C19" w14:textId="77777777" w:rsidR="004965ED" w:rsidRDefault="004965ED" w:rsidP="004965ED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384677F0" w14:textId="4F059C93" w:rsidR="00790B59" w:rsidRDefault="004965ED" w:rsidP="004965ED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PARÁGRAFO SEGUNDO. </w:t>
      </w:r>
      <w:r w:rsidR="00790B59" w:rsidRPr="004965ED">
        <w:rPr>
          <w:rFonts w:ascii="Work Sans Light" w:eastAsia="Times New Roman" w:hAnsi="Work Sans Light" w:cs="Times New Roman"/>
          <w:bCs/>
          <w:lang w:eastAsia="es-CO"/>
        </w:rPr>
        <w:t>Las investigaciones administrativas sancionatorias sustanciadas por las Direcciones Regionales, deberán ser allegadas a la Dirección Técnica de Inspección y Vigilancia a fin de consolidar la información para la presentación de los informes mensuales de seguimiento que debe presentar la Dirección Técnica de Inspección y Vig</w:t>
      </w:r>
      <w:r w:rsidR="00790B59">
        <w:rPr>
          <w:rFonts w:ascii="Work Sans Light" w:eastAsia="Times New Roman" w:hAnsi="Work Sans Light" w:cs="Times New Roman"/>
          <w:bCs/>
          <w:lang w:eastAsia="es-CO"/>
        </w:rPr>
        <w:t>ilancia a la Dirección General.</w:t>
      </w:r>
    </w:p>
    <w:p w14:paraId="71115F01" w14:textId="77777777" w:rsidR="004965ED" w:rsidRDefault="004965ED" w:rsidP="004965ED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</w:p>
    <w:p w14:paraId="716E57F2" w14:textId="77777777" w:rsidR="00790B59" w:rsidRDefault="004965ED" w:rsidP="00790B59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Cs/>
          <w:lang w:eastAsia="es-CO"/>
        </w:rPr>
      </w:pPr>
      <w:r>
        <w:rPr>
          <w:rFonts w:ascii="Work Sans Light" w:eastAsia="Times New Roman" w:hAnsi="Work Sans Light" w:cs="Times New Roman"/>
          <w:b/>
          <w:bCs/>
          <w:lang w:eastAsia="es-CO"/>
        </w:rPr>
        <w:t xml:space="preserve">PARÁGRAFO TERCERO. </w:t>
      </w:r>
      <w:r w:rsidR="00790B59" w:rsidRPr="004965ED">
        <w:rPr>
          <w:rFonts w:ascii="Work Sans Light" w:eastAsia="Times New Roman" w:hAnsi="Work Sans Light" w:cs="Times New Roman"/>
          <w:bCs/>
          <w:lang w:eastAsia="es-CO"/>
        </w:rPr>
        <w:t>Las Direcciones Regionales llevaran una base de datos de infractores, lo que permitirá evaluar la reincidencia de los mismos, a fin de efectuar la graduación de la posible sanción al momento de resolver las investigaciones administrativas. Las bases de datos serán alimentadas periódicamente, y deberán contener información detallada de las Entidades de Beneficencia receptoras de las donaciones de los productos pesqueros decomisados de manera preventiva y los datos personales del Representante Legal de la Entidad. Esta información deberá ser allegada a la Dirección Técnica de Inspección y Vigilancia, a fin de conformar la base de datos nacional de infractores y hacer la respectiva verificación.</w:t>
      </w:r>
    </w:p>
    <w:p w14:paraId="2B6D94B8" w14:textId="77777777" w:rsidR="00A610D4" w:rsidRDefault="00A610D4" w:rsidP="001815F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b/>
          <w:bCs/>
          <w:lang w:eastAsia="es-CO"/>
        </w:rPr>
      </w:pPr>
    </w:p>
    <w:p w14:paraId="0C2F30E6" w14:textId="51FA8193" w:rsidR="001815F0" w:rsidRPr="001F3AD8" w:rsidRDefault="00C03F56" w:rsidP="001815F0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>ARTÍCULO</w:t>
      </w:r>
      <w:r w:rsidR="006054A5">
        <w:rPr>
          <w:rFonts w:ascii="Work Sans Light" w:eastAsia="Times New Roman" w:hAnsi="Work Sans Light" w:cs="Times New Roman"/>
          <w:b/>
          <w:bCs/>
          <w:lang w:eastAsia="es-CO"/>
        </w:rPr>
        <w:t xml:space="preserve"> </w:t>
      </w:r>
      <w:r w:rsidR="004965ED">
        <w:rPr>
          <w:rFonts w:ascii="Work Sans Light" w:eastAsia="Times New Roman" w:hAnsi="Work Sans Light" w:cs="Times New Roman"/>
          <w:b/>
          <w:bCs/>
          <w:lang w:eastAsia="es-CO"/>
        </w:rPr>
        <w:t>CUARTO.</w:t>
      </w:r>
      <w:r w:rsidR="000541A6">
        <w:rPr>
          <w:rFonts w:ascii="Work Sans Light" w:eastAsia="Times New Roman" w:hAnsi="Work Sans Light" w:cs="Times New Roman"/>
          <w:b/>
          <w:bCs/>
          <w:lang w:eastAsia="es-CO"/>
        </w:rPr>
        <w:t xml:space="preserve"> </w:t>
      </w:r>
      <w:r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  <w:r w:rsidR="001815F0" w:rsidRPr="001F3AD8">
        <w:rPr>
          <w:rFonts w:ascii="Work Sans Light" w:eastAsia="Times New Roman" w:hAnsi="Work Sans Light" w:cs="Times New Roman"/>
          <w:lang w:eastAsia="es-CO"/>
        </w:rPr>
        <w:t>La presente resolución rige a partir de la fecha de su publicación</w:t>
      </w:r>
      <w:r w:rsidR="00BD6CC0">
        <w:rPr>
          <w:rFonts w:ascii="Work Sans Light" w:eastAsia="Times New Roman" w:hAnsi="Work Sans Light" w:cs="Times New Roman"/>
          <w:lang w:eastAsia="es-CO"/>
        </w:rPr>
        <w:t xml:space="preserve"> y deroga todas aquellas que le resulten contrarias especialmente las Resoluciones 2815 de 2017 y 027 de 2019</w:t>
      </w:r>
      <w:r w:rsidR="008B7DDD">
        <w:rPr>
          <w:rFonts w:ascii="Work Sans Light" w:eastAsia="Times New Roman" w:hAnsi="Work Sans Light" w:cs="Times New Roman"/>
          <w:lang w:eastAsia="es-CO"/>
        </w:rPr>
        <w:t>.</w:t>
      </w:r>
      <w:r w:rsidR="001815F0"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</w:p>
    <w:p w14:paraId="0973A812" w14:textId="77777777" w:rsidR="001815F0" w:rsidRPr="001F3AD8" w:rsidRDefault="001815F0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184D68F3" w14:textId="3E57855D" w:rsidR="00E13D39" w:rsidRDefault="00C03F56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  <w:r w:rsidRPr="001F3AD8">
        <w:rPr>
          <w:rFonts w:ascii="Work Sans Light" w:eastAsia="Times New Roman" w:hAnsi="Work Sans Light" w:cs="Times New Roman"/>
          <w:lang w:eastAsia="es-CO"/>
        </w:rPr>
        <w:t xml:space="preserve"> </w:t>
      </w:r>
    </w:p>
    <w:p w14:paraId="6CBFFD6E" w14:textId="77777777" w:rsidR="00E13D39" w:rsidRPr="001F3AD8" w:rsidRDefault="00E13D39" w:rsidP="00EB05A7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1C6A5CEC" w14:textId="06B99CD0" w:rsidR="00E13D39" w:rsidRPr="007F3132" w:rsidRDefault="001454F1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lastRenderedPageBreak/>
        <w:t>PUBLÍQUESE</w:t>
      </w:r>
      <w:r w:rsidR="00352D9E" w:rsidRPr="007F3132">
        <w:rPr>
          <w:rFonts w:ascii="Work Sans Light" w:eastAsia="Times New Roman" w:hAnsi="Work Sans Light" w:cs="Times New Roman"/>
          <w:b/>
          <w:bCs/>
          <w:lang w:eastAsia="es-CO"/>
        </w:rPr>
        <w:t xml:space="preserve"> </w:t>
      </w:r>
      <w:r w:rsidR="00E13D39" w:rsidRPr="007F3132">
        <w:rPr>
          <w:rFonts w:ascii="Work Sans Light" w:eastAsia="Times New Roman" w:hAnsi="Work Sans Light" w:cs="Times New Roman"/>
          <w:b/>
          <w:bCs/>
          <w:lang w:eastAsia="es-CO"/>
        </w:rPr>
        <w:t>Y CÚMPLASE</w:t>
      </w:r>
    </w:p>
    <w:p w14:paraId="6063F901" w14:textId="3AD8C4B7" w:rsidR="00E13D39" w:rsidRPr="007F3132" w:rsidRDefault="00E13D39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>Dado en Bogotá, D.C., a los</w:t>
      </w:r>
    </w:p>
    <w:p w14:paraId="50B6BB56" w14:textId="6C3F6C72" w:rsidR="004840C0" w:rsidRDefault="004840C0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</w:p>
    <w:p w14:paraId="6083724B" w14:textId="77777777" w:rsidR="00C7346E" w:rsidRPr="007F3132" w:rsidRDefault="00C7346E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</w:p>
    <w:p w14:paraId="0D3DC257" w14:textId="77777777" w:rsidR="004840C0" w:rsidRPr="007F3132" w:rsidRDefault="004840C0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</w:p>
    <w:p w14:paraId="15552CE5" w14:textId="383EEBF2" w:rsidR="004E78E6" w:rsidRPr="007F3132" w:rsidRDefault="005F51FD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/>
          <w:bCs/>
          <w:lang w:eastAsia="es-CO"/>
        </w:rPr>
      </w:pPr>
      <w:r w:rsidRPr="007F3132">
        <w:rPr>
          <w:rFonts w:ascii="Work Sans Light" w:eastAsia="Times New Roman" w:hAnsi="Work Sans Light" w:cs="Times New Roman"/>
          <w:b/>
          <w:bCs/>
          <w:lang w:eastAsia="es-CO"/>
        </w:rPr>
        <w:t xml:space="preserve">NICOLÁS </w:t>
      </w:r>
      <w:r w:rsidR="004E78E6" w:rsidRPr="007F3132">
        <w:rPr>
          <w:rFonts w:ascii="Work Sans Light" w:eastAsia="Times New Roman" w:hAnsi="Work Sans Light" w:cs="Times New Roman"/>
          <w:b/>
          <w:bCs/>
          <w:lang w:eastAsia="es-CO"/>
        </w:rPr>
        <w:t>DEL CASTILLO PIEDRAHITA</w:t>
      </w:r>
    </w:p>
    <w:p w14:paraId="7FA803E3" w14:textId="0C72CF23" w:rsidR="00E13D39" w:rsidRPr="005F51FD" w:rsidRDefault="00E13D39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Cs/>
          <w:lang w:eastAsia="es-CO"/>
        </w:rPr>
      </w:pPr>
      <w:r w:rsidRPr="005F51FD">
        <w:rPr>
          <w:rFonts w:ascii="Work Sans Light" w:eastAsia="Times New Roman" w:hAnsi="Work Sans Light" w:cs="Times New Roman"/>
          <w:bCs/>
          <w:lang w:eastAsia="es-CO"/>
        </w:rPr>
        <w:t>Director General</w:t>
      </w:r>
    </w:p>
    <w:p w14:paraId="2B8132FB" w14:textId="77777777" w:rsidR="00670DC0" w:rsidRPr="005F51FD" w:rsidRDefault="00670DC0" w:rsidP="007F3132">
      <w:pPr>
        <w:autoSpaceDN w:val="0"/>
        <w:spacing w:after="0" w:line="240" w:lineRule="auto"/>
        <w:jc w:val="center"/>
        <w:rPr>
          <w:rFonts w:ascii="Work Sans Light" w:eastAsia="Times New Roman" w:hAnsi="Work Sans Light" w:cs="Times New Roman"/>
          <w:bCs/>
          <w:lang w:eastAsia="es-CO"/>
        </w:rPr>
      </w:pPr>
    </w:p>
    <w:p w14:paraId="33C02F9B" w14:textId="77777777" w:rsidR="0044433D" w:rsidRPr="001F3AD8" w:rsidRDefault="0044433D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lang w:eastAsia="es-CO"/>
        </w:rPr>
      </w:pPr>
    </w:p>
    <w:p w14:paraId="2189C9B9" w14:textId="6091D104" w:rsidR="008B7DDD" w:rsidRDefault="00E2117B" w:rsidP="00C7346E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sz w:val="12"/>
          <w:szCs w:val="12"/>
          <w:lang w:eastAsia="es-CO"/>
        </w:rPr>
      </w:pPr>
      <w:r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Proyectó: </w:t>
      </w:r>
      <w:r>
        <w:rPr>
          <w:rFonts w:ascii="Work Sans Light" w:eastAsia="Times New Roman" w:hAnsi="Work Sans Light" w:cs="Times New Roman"/>
          <w:sz w:val="12"/>
          <w:szCs w:val="12"/>
          <w:lang w:eastAsia="es-CO"/>
        </w:rPr>
        <w:tab/>
      </w:r>
      <w:r w:rsidR="008B7DDD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Diego Fernando Reyes Hernández – </w:t>
      </w:r>
      <w:r w:rsidR="00B32F7D">
        <w:rPr>
          <w:rFonts w:ascii="Work Sans Light" w:eastAsia="Times New Roman" w:hAnsi="Work Sans Light" w:cs="Times New Roman"/>
          <w:sz w:val="12"/>
          <w:szCs w:val="12"/>
          <w:lang w:eastAsia="es-CO"/>
        </w:rPr>
        <w:t>Contratista</w:t>
      </w:r>
      <w:r w:rsidR="008B7DDD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Oficina Asesora Jurídica</w:t>
      </w:r>
    </w:p>
    <w:p w14:paraId="550C6C81" w14:textId="20684A7C" w:rsidR="00B32F7D" w:rsidRPr="007F3132" w:rsidRDefault="00B32F7D" w:rsidP="00C7346E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sz w:val="12"/>
          <w:szCs w:val="12"/>
          <w:lang w:eastAsia="es-CO"/>
        </w:rPr>
      </w:pPr>
      <w:r>
        <w:rPr>
          <w:rFonts w:ascii="Work Sans Light" w:eastAsia="Times New Roman" w:hAnsi="Work Sans Light" w:cs="Times New Roman"/>
          <w:sz w:val="12"/>
          <w:szCs w:val="12"/>
          <w:lang w:eastAsia="es-CO"/>
        </w:rPr>
        <w:tab/>
        <w:t>Jeimy Pilar Albarracín Blanco – Profesional Oficina Asesora Jurídica</w:t>
      </w:r>
    </w:p>
    <w:p w14:paraId="6A590F78" w14:textId="77777777" w:rsidR="00C7346E" w:rsidRDefault="00C7346E" w:rsidP="00796FF4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sz w:val="12"/>
          <w:szCs w:val="12"/>
          <w:lang w:eastAsia="es-CO"/>
        </w:rPr>
      </w:pPr>
    </w:p>
    <w:p w14:paraId="729B3899" w14:textId="57097BC7" w:rsidR="00DA3412" w:rsidRDefault="00BB7352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sz w:val="12"/>
          <w:szCs w:val="12"/>
          <w:lang w:eastAsia="es-CO"/>
        </w:rPr>
      </w:pPr>
      <w:r w:rsidRPr="007F3132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Revisó:  </w:t>
      </w:r>
      <w:r w:rsidR="000A0C99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</w:t>
      </w:r>
      <w:r w:rsidR="00467641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 </w:t>
      </w:r>
      <w:r w:rsidR="001454F1">
        <w:rPr>
          <w:rFonts w:ascii="Work Sans Light" w:eastAsia="Times New Roman" w:hAnsi="Work Sans Light" w:cs="Times New Roman"/>
          <w:sz w:val="12"/>
          <w:szCs w:val="12"/>
          <w:lang w:eastAsia="es-CO"/>
        </w:rPr>
        <w:tab/>
      </w:r>
      <w:r w:rsidR="00B3254B">
        <w:rPr>
          <w:rFonts w:ascii="Work Sans Light" w:eastAsia="Times New Roman" w:hAnsi="Work Sans Light" w:cs="Times New Roman"/>
          <w:sz w:val="12"/>
          <w:szCs w:val="12"/>
          <w:lang w:eastAsia="es-CO"/>
        </w:rPr>
        <w:t>Jenny Rivera Camelo</w:t>
      </w:r>
      <w:r w:rsidRPr="007F3132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–</w:t>
      </w:r>
      <w:r w:rsidR="00AC22DC" w:rsidRPr="007F3132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</w:t>
      </w:r>
      <w:r w:rsidR="00B32F7D"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Directora Técnica de </w:t>
      </w:r>
      <w:r w:rsidR="005F51FD">
        <w:rPr>
          <w:rFonts w:ascii="Work Sans Light" w:eastAsia="Times New Roman" w:hAnsi="Work Sans Light" w:cs="Times New Roman"/>
          <w:sz w:val="12"/>
          <w:szCs w:val="12"/>
          <w:lang w:eastAsia="es-CO"/>
        </w:rPr>
        <w:t>Inspección y Vigilancia</w:t>
      </w:r>
    </w:p>
    <w:p w14:paraId="0867AB75" w14:textId="7DA9D5F3" w:rsidR="008B7DDD" w:rsidRPr="007F3132" w:rsidRDefault="00B23E42" w:rsidP="001F3AD8">
      <w:pPr>
        <w:autoSpaceDN w:val="0"/>
        <w:spacing w:after="0" w:line="240" w:lineRule="auto"/>
        <w:jc w:val="both"/>
        <w:rPr>
          <w:rFonts w:ascii="Work Sans Light" w:eastAsia="Times New Roman" w:hAnsi="Work Sans Light" w:cs="Times New Roman"/>
          <w:sz w:val="12"/>
          <w:szCs w:val="12"/>
          <w:lang w:eastAsia="es-CO"/>
        </w:rPr>
      </w:pPr>
      <w:r>
        <w:rPr>
          <w:rFonts w:ascii="Work Sans Light" w:eastAsia="Times New Roman" w:hAnsi="Work Sans Light" w:cs="Times New Roman"/>
          <w:sz w:val="12"/>
          <w:szCs w:val="12"/>
          <w:lang w:eastAsia="es-CO"/>
        </w:rPr>
        <w:t xml:space="preserve">                </w:t>
      </w:r>
      <w:r w:rsidR="001454F1">
        <w:rPr>
          <w:rFonts w:ascii="Work Sans Light" w:eastAsia="Times New Roman" w:hAnsi="Work Sans Light" w:cs="Times New Roman"/>
          <w:sz w:val="12"/>
          <w:szCs w:val="12"/>
          <w:lang w:eastAsia="es-CO"/>
        </w:rPr>
        <w:tab/>
      </w:r>
      <w:r w:rsidR="008B7DDD">
        <w:rPr>
          <w:rFonts w:ascii="Work Sans Light" w:eastAsia="Times New Roman" w:hAnsi="Work Sans Light" w:cs="Times New Roman"/>
          <w:sz w:val="12"/>
          <w:szCs w:val="12"/>
          <w:lang w:eastAsia="es-CO"/>
        </w:rPr>
        <w:t>Miguel Ángel Ardila Ardila – Jefe Oficina Asesora Jurídica</w:t>
      </w:r>
    </w:p>
    <w:sectPr w:rsidR="008B7DDD" w:rsidRPr="007F3132" w:rsidSect="00DA3412">
      <w:headerReference w:type="default" r:id="rId8"/>
      <w:footerReference w:type="default" r:id="rId9"/>
      <w:headerReference w:type="first" r:id="rId10"/>
      <w:pgSz w:w="12240" w:h="18720" w:code="14"/>
      <w:pgMar w:top="1701" w:right="1077" w:bottom="1134" w:left="1247" w:header="851" w:footer="737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05D1C" w14:textId="77777777" w:rsidR="00C01B90" w:rsidRDefault="00C01B90" w:rsidP="00E13D39">
      <w:pPr>
        <w:spacing w:after="0" w:line="240" w:lineRule="auto"/>
      </w:pPr>
      <w:r>
        <w:separator/>
      </w:r>
    </w:p>
  </w:endnote>
  <w:endnote w:type="continuationSeparator" w:id="0">
    <w:p w14:paraId="22A54FAA" w14:textId="77777777" w:rsidR="00C01B90" w:rsidRDefault="00C01B90" w:rsidP="00E1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45"/>
    </w:tblGrid>
    <w:tr w:rsidR="00DA3412" w:rsidRPr="006F6753" w14:paraId="0E5DF47A" w14:textId="77777777" w:rsidTr="00DA3412">
      <w:tc>
        <w:tcPr>
          <w:tcW w:w="9545" w:type="dxa"/>
          <w:shd w:val="clear" w:color="auto" w:fill="auto"/>
        </w:tcPr>
        <w:p w14:paraId="0C7562DA" w14:textId="77777777" w:rsidR="00DA3412" w:rsidRPr="006F6753" w:rsidRDefault="00DA3412" w:rsidP="00DA3412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</w:tr>
  </w:tbl>
  <w:p w14:paraId="4578B766" w14:textId="77777777" w:rsidR="00DA3412" w:rsidRPr="00241F88" w:rsidRDefault="00DA3412" w:rsidP="00DA3412">
    <w:pPr>
      <w:pStyle w:val="Piedepgina"/>
      <w:jc w:val="center"/>
      <w:rPr>
        <w:rFonts w:ascii="Arial" w:hAnsi="Arial" w:cs="Arial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F0719" w14:textId="77777777" w:rsidR="00C01B90" w:rsidRDefault="00C01B90" w:rsidP="00E13D39">
      <w:pPr>
        <w:spacing w:after="0" w:line="240" w:lineRule="auto"/>
      </w:pPr>
      <w:r>
        <w:separator/>
      </w:r>
    </w:p>
  </w:footnote>
  <w:footnote w:type="continuationSeparator" w:id="0">
    <w:p w14:paraId="085C594F" w14:textId="77777777" w:rsidR="00C01B90" w:rsidRDefault="00C01B90" w:rsidP="00E13D39">
      <w:pPr>
        <w:spacing w:after="0" w:line="240" w:lineRule="auto"/>
      </w:pPr>
      <w:r>
        <w:continuationSeparator/>
      </w:r>
    </w:p>
  </w:footnote>
  <w:footnote w:id="1">
    <w:p w14:paraId="753059BC" w14:textId="6B2AB141" w:rsidR="00F608E9" w:rsidRPr="00F608E9" w:rsidRDefault="00F608E9" w:rsidP="00F608E9">
      <w:pPr>
        <w:pStyle w:val="Textonotapie"/>
        <w:jc w:val="both"/>
        <w:rPr>
          <w:rFonts w:ascii="Times New Roman" w:hAnsi="Times New Roman" w:cs="Times New Roman"/>
          <w:sz w:val="16"/>
          <w:szCs w:val="18"/>
        </w:rPr>
      </w:pPr>
      <w:r w:rsidRPr="00F608E9">
        <w:rPr>
          <w:rStyle w:val="Refdenotaalpie"/>
          <w:rFonts w:ascii="Times New Roman" w:hAnsi="Times New Roman" w:cs="Times New Roman"/>
          <w:sz w:val="16"/>
          <w:szCs w:val="18"/>
        </w:rPr>
        <w:footnoteRef/>
      </w:r>
      <w:r w:rsidRPr="00F608E9">
        <w:rPr>
          <w:rFonts w:ascii="Times New Roman" w:hAnsi="Times New Roman" w:cs="Times New Roman"/>
          <w:sz w:val="16"/>
          <w:szCs w:val="18"/>
        </w:rPr>
        <w:t xml:space="preserve"> </w:t>
      </w:r>
      <w:r w:rsidRPr="00B3254B">
        <w:rPr>
          <w:rFonts w:ascii="Times New Roman" w:hAnsi="Times New Roman" w:cs="Times New Roman"/>
          <w:b/>
          <w:sz w:val="16"/>
          <w:szCs w:val="18"/>
        </w:rPr>
        <w:t>RECURSOS CONTRA LOS ACTOS ADMINISTRATIVOS.</w:t>
      </w:r>
      <w:r w:rsidRPr="00F608E9">
        <w:rPr>
          <w:rFonts w:ascii="Times New Roman" w:hAnsi="Times New Roman" w:cs="Times New Roman"/>
          <w:sz w:val="16"/>
          <w:szCs w:val="18"/>
        </w:rPr>
        <w:t xml:space="preserve"> Por regla general, contra los actos definitivos proc</w:t>
      </w:r>
      <w:r>
        <w:rPr>
          <w:rFonts w:ascii="Times New Roman" w:hAnsi="Times New Roman" w:cs="Times New Roman"/>
          <w:sz w:val="16"/>
          <w:szCs w:val="18"/>
        </w:rPr>
        <w:t>ederán los siguientes recursos:</w:t>
      </w:r>
    </w:p>
    <w:p w14:paraId="30E621A5" w14:textId="09D44F81" w:rsidR="00F608E9" w:rsidRPr="00F608E9" w:rsidRDefault="00F608E9" w:rsidP="00F608E9">
      <w:pPr>
        <w:pStyle w:val="Textonotapie"/>
        <w:jc w:val="both"/>
        <w:rPr>
          <w:rFonts w:ascii="Times New Roman" w:hAnsi="Times New Roman" w:cs="Times New Roman"/>
          <w:sz w:val="16"/>
          <w:szCs w:val="18"/>
        </w:rPr>
      </w:pPr>
      <w:r w:rsidRPr="00F608E9">
        <w:rPr>
          <w:rFonts w:ascii="Times New Roman" w:hAnsi="Times New Roman" w:cs="Times New Roman"/>
          <w:sz w:val="16"/>
          <w:szCs w:val="18"/>
        </w:rPr>
        <w:t xml:space="preserve">1. El de </w:t>
      </w:r>
      <w:r w:rsidRPr="00B3254B">
        <w:rPr>
          <w:rFonts w:ascii="Times New Roman" w:hAnsi="Times New Roman" w:cs="Times New Roman"/>
          <w:b/>
          <w:sz w:val="16"/>
          <w:szCs w:val="18"/>
        </w:rPr>
        <w:t>reposició</w:t>
      </w:r>
      <w:r w:rsidRPr="00F608E9">
        <w:rPr>
          <w:rFonts w:ascii="Times New Roman" w:hAnsi="Times New Roman" w:cs="Times New Roman"/>
          <w:sz w:val="16"/>
          <w:szCs w:val="18"/>
        </w:rPr>
        <w:t>n, ante quien expidió la decisión para que la aclare,</w:t>
      </w:r>
      <w:r>
        <w:rPr>
          <w:rFonts w:ascii="Times New Roman" w:hAnsi="Times New Roman" w:cs="Times New Roman"/>
          <w:sz w:val="16"/>
          <w:szCs w:val="18"/>
        </w:rPr>
        <w:t xml:space="preserve"> modifique, adicione o revoque.</w:t>
      </w:r>
    </w:p>
    <w:p w14:paraId="74AA8618" w14:textId="1FDD542A" w:rsidR="00F608E9" w:rsidRPr="00F608E9" w:rsidRDefault="00F608E9" w:rsidP="00F608E9">
      <w:pPr>
        <w:pStyle w:val="Textonotapie"/>
        <w:jc w:val="both"/>
        <w:rPr>
          <w:rFonts w:ascii="Times New Roman" w:hAnsi="Times New Roman" w:cs="Times New Roman"/>
          <w:sz w:val="16"/>
          <w:szCs w:val="18"/>
        </w:rPr>
      </w:pPr>
      <w:r w:rsidRPr="00F608E9">
        <w:rPr>
          <w:rFonts w:ascii="Times New Roman" w:hAnsi="Times New Roman" w:cs="Times New Roman"/>
          <w:sz w:val="16"/>
          <w:szCs w:val="18"/>
        </w:rPr>
        <w:t xml:space="preserve">2. El de </w:t>
      </w:r>
      <w:r w:rsidRPr="00B3254B">
        <w:rPr>
          <w:rFonts w:ascii="Times New Roman" w:hAnsi="Times New Roman" w:cs="Times New Roman"/>
          <w:b/>
          <w:sz w:val="16"/>
          <w:szCs w:val="18"/>
        </w:rPr>
        <w:t>apelación</w:t>
      </w:r>
      <w:r w:rsidRPr="00F608E9">
        <w:rPr>
          <w:rFonts w:ascii="Times New Roman" w:hAnsi="Times New Roman" w:cs="Times New Roman"/>
          <w:sz w:val="16"/>
          <w:szCs w:val="18"/>
        </w:rPr>
        <w:t>, para ante el inmediato superior administrativo o fu</w:t>
      </w:r>
      <w:r>
        <w:rPr>
          <w:rFonts w:ascii="Times New Roman" w:hAnsi="Times New Roman" w:cs="Times New Roman"/>
          <w:sz w:val="16"/>
          <w:szCs w:val="18"/>
        </w:rPr>
        <w:t>ncional con el mismo propósito.</w:t>
      </w:r>
    </w:p>
    <w:p w14:paraId="5E3CCD34" w14:textId="5E1D6EF9" w:rsidR="00F608E9" w:rsidRPr="00F608E9" w:rsidRDefault="00F608E9" w:rsidP="00F608E9">
      <w:pPr>
        <w:pStyle w:val="Textonotapie"/>
        <w:jc w:val="both"/>
        <w:rPr>
          <w:rFonts w:ascii="Times New Roman" w:hAnsi="Times New Roman" w:cs="Times New Roman"/>
          <w:sz w:val="16"/>
          <w:szCs w:val="18"/>
        </w:rPr>
      </w:pPr>
      <w:r w:rsidRPr="00F608E9">
        <w:rPr>
          <w:rFonts w:ascii="Times New Roman" w:hAnsi="Times New Roman" w:cs="Times New Roman"/>
          <w:sz w:val="16"/>
          <w:szCs w:val="18"/>
        </w:rPr>
        <w:t>No habrá apelación de las decisiones de los Ministros, Directores de Departamento Administrativo, superintendentes y representantes legales de las entidades descentralizadas ni de los directores u organismos superiores de los órga</w:t>
      </w:r>
      <w:r>
        <w:rPr>
          <w:rFonts w:ascii="Times New Roman" w:hAnsi="Times New Roman" w:cs="Times New Roman"/>
          <w:sz w:val="16"/>
          <w:szCs w:val="18"/>
        </w:rPr>
        <w:t>nos constitucionales autónomos.</w:t>
      </w:r>
    </w:p>
    <w:p w14:paraId="3DF12D17" w14:textId="2A371DD3" w:rsidR="00F608E9" w:rsidRPr="00F608E9" w:rsidRDefault="00F608E9" w:rsidP="00F608E9">
      <w:pPr>
        <w:pStyle w:val="Textonotapie"/>
        <w:jc w:val="both"/>
      </w:pPr>
      <w:r w:rsidRPr="00F608E9">
        <w:rPr>
          <w:rFonts w:ascii="Times New Roman" w:hAnsi="Times New Roman" w:cs="Times New Roman"/>
          <w:sz w:val="16"/>
          <w:szCs w:val="18"/>
        </w:rPr>
        <w:t>Tampoco serán apelables aquellas decisiones proferidas por los representantes legales y jefes superiores de las entidades y organismos del nivel territorial</w:t>
      </w:r>
      <w:r>
        <w:rPr>
          <w:rFonts w:ascii="Times New Roman" w:hAnsi="Times New Roman" w:cs="Times New Roman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6B4DF" w14:textId="77777777" w:rsidR="00AC22DC" w:rsidRDefault="00AC22DC" w:rsidP="00AC22DC">
    <w:pPr>
      <w:autoSpaceDN w:val="0"/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es-ES" w:eastAsia="es-ES"/>
      </w:rPr>
    </w:pPr>
  </w:p>
  <w:p w14:paraId="261D0E43" w14:textId="0D6FB68A" w:rsidR="00B57554" w:rsidRDefault="0045121B" w:rsidP="00B57554">
    <w:pPr>
      <w:pStyle w:val="Encabezado"/>
      <w:jc w:val="center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RESOLUCION </w:t>
    </w:r>
    <w:r w:rsidR="00B57554">
      <w:rPr>
        <w:rFonts w:ascii="Arial" w:hAnsi="Arial" w:cs="Arial"/>
      </w:rPr>
      <w:t>NÚMERO</w:t>
    </w:r>
    <w:r w:rsidR="00B57554" w:rsidRPr="00EE4AF9">
      <w:rPr>
        <w:rFonts w:ascii="Arial" w:hAnsi="Arial" w:cs="Arial"/>
      </w:rPr>
      <w:t xml:space="preserve"> ______________</w:t>
    </w:r>
    <w:r w:rsidR="00B57554">
      <w:rPr>
        <w:rFonts w:ascii="Arial" w:hAnsi="Arial" w:cs="Arial"/>
      </w:rPr>
      <w:t>D</w:t>
    </w:r>
    <w:r w:rsidR="00B57554" w:rsidRPr="00EE4AF9">
      <w:rPr>
        <w:rFonts w:ascii="Arial" w:hAnsi="Arial" w:cs="Arial"/>
      </w:rPr>
      <w:t>E_____</w:t>
    </w:r>
    <w:r w:rsidR="00B57554">
      <w:rPr>
        <w:rFonts w:ascii="Arial" w:hAnsi="Arial" w:cs="Arial"/>
      </w:rPr>
      <w:t>________ H</w:t>
    </w:r>
    <w:r w:rsidR="00B57554" w:rsidRPr="00EE4AF9">
      <w:rPr>
        <w:rFonts w:ascii="Arial" w:hAnsi="Arial" w:cs="Arial"/>
      </w:rPr>
      <w:t xml:space="preserve">OJA </w:t>
    </w:r>
    <w:r w:rsidR="00B57554" w:rsidRPr="00EE4AF9">
      <w:rPr>
        <w:rStyle w:val="Nmerodepgina"/>
        <w:rFonts w:ascii="Arial" w:hAnsi="Arial" w:cs="Arial"/>
      </w:rPr>
      <w:fldChar w:fldCharType="begin"/>
    </w:r>
    <w:r w:rsidR="00B57554" w:rsidRPr="00EE4AF9">
      <w:rPr>
        <w:rStyle w:val="Nmerodepgina"/>
        <w:rFonts w:ascii="Arial" w:hAnsi="Arial" w:cs="Arial"/>
      </w:rPr>
      <w:instrText xml:space="preserve"> PAGE </w:instrText>
    </w:r>
    <w:r w:rsidR="00B57554" w:rsidRPr="00EE4AF9">
      <w:rPr>
        <w:rStyle w:val="Nmerodepgina"/>
        <w:rFonts w:ascii="Arial" w:hAnsi="Arial" w:cs="Arial"/>
      </w:rPr>
      <w:fldChar w:fldCharType="separate"/>
    </w:r>
    <w:r w:rsidR="00BB0794">
      <w:rPr>
        <w:rStyle w:val="Nmerodepgina"/>
        <w:rFonts w:ascii="Arial" w:hAnsi="Arial" w:cs="Arial"/>
        <w:noProof/>
      </w:rPr>
      <w:t>4</w:t>
    </w:r>
    <w:r w:rsidR="00B57554" w:rsidRPr="00EE4AF9">
      <w:rPr>
        <w:rStyle w:val="Nmerodepgina"/>
        <w:rFonts w:ascii="Arial" w:hAnsi="Arial" w:cs="Arial"/>
      </w:rPr>
      <w:fldChar w:fldCharType="end"/>
    </w:r>
    <w:r w:rsidR="00B57554" w:rsidRPr="00EE4AF9">
      <w:rPr>
        <w:rStyle w:val="Nmerodepgina"/>
        <w:rFonts w:ascii="Arial" w:hAnsi="Arial" w:cs="Arial"/>
      </w:rPr>
      <w:t xml:space="preserve"> DE </w:t>
    </w:r>
    <w:r w:rsidR="00B57554">
      <w:rPr>
        <w:rStyle w:val="Nmerodepgina"/>
        <w:rFonts w:ascii="Arial" w:hAnsi="Arial" w:cs="Arial"/>
      </w:rPr>
      <w:fldChar w:fldCharType="begin"/>
    </w:r>
    <w:r w:rsidR="00B57554">
      <w:rPr>
        <w:rStyle w:val="Nmerodepgina"/>
        <w:rFonts w:ascii="Arial" w:hAnsi="Arial" w:cs="Arial"/>
      </w:rPr>
      <w:instrText xml:space="preserve"> NUMPAGES  \* Arabic  \* MERGEFORMAT </w:instrText>
    </w:r>
    <w:r w:rsidR="00B57554">
      <w:rPr>
        <w:rStyle w:val="Nmerodepgina"/>
        <w:rFonts w:ascii="Arial" w:hAnsi="Arial" w:cs="Arial"/>
      </w:rPr>
      <w:fldChar w:fldCharType="separate"/>
    </w:r>
    <w:r w:rsidR="00BB0794">
      <w:rPr>
        <w:rStyle w:val="Nmerodepgina"/>
        <w:rFonts w:ascii="Arial" w:hAnsi="Arial" w:cs="Arial"/>
        <w:noProof/>
      </w:rPr>
      <w:t>5</w:t>
    </w:r>
    <w:r w:rsidR="00B57554">
      <w:rPr>
        <w:rStyle w:val="Nmerodepgina"/>
        <w:rFonts w:ascii="Arial" w:hAnsi="Arial" w:cs="Arial"/>
      </w:rPr>
      <w:fldChar w:fldCharType="end"/>
    </w:r>
  </w:p>
  <w:p w14:paraId="15A23928" w14:textId="77777777" w:rsidR="00AC22DC" w:rsidRDefault="00AC22DC" w:rsidP="00AC22DC">
    <w:pPr>
      <w:autoSpaceDN w:val="0"/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es-ES" w:eastAsia="es-ES"/>
      </w:rPr>
    </w:pPr>
  </w:p>
  <w:p w14:paraId="3E0DA24D" w14:textId="4B1B2099" w:rsidR="0045121B" w:rsidRPr="003D7C2D" w:rsidRDefault="0045121B" w:rsidP="0045121B">
    <w:pPr>
      <w:autoSpaceDN w:val="0"/>
      <w:spacing w:after="0" w:line="240" w:lineRule="auto"/>
      <w:jc w:val="center"/>
      <w:rPr>
        <w:rFonts w:eastAsia="Times New Roman" w:cs="Arial"/>
        <w:bCs/>
        <w:i/>
        <w:iCs/>
        <w:lang w:val="es-ES" w:eastAsia="es-ES"/>
      </w:rPr>
    </w:pPr>
    <w:r w:rsidRPr="003D7C2D">
      <w:rPr>
        <w:rFonts w:eastAsia="Times New Roman" w:cs="Arial"/>
        <w:bCs/>
        <w:i/>
        <w:iCs/>
        <w:lang w:val="es-ES" w:eastAsia="es-ES"/>
      </w:rPr>
      <w:t>“</w:t>
    </w:r>
    <w:r w:rsidR="001F361A" w:rsidRPr="001F361A">
      <w:rPr>
        <w:rFonts w:eastAsia="Times New Roman" w:cs="Arial"/>
        <w:bCs/>
        <w:i/>
        <w:iCs/>
        <w:lang w:val="es-ES" w:eastAsia="es-ES"/>
      </w:rPr>
      <w:t>Por la cual se establecen los procedimientos sancionatorios por infracción al Estatuto de Pesca en Pesca Marina y Pesca Continental y se establecen otras disposiciones</w:t>
    </w:r>
    <w:r w:rsidRPr="003D7C2D">
      <w:rPr>
        <w:rFonts w:eastAsia="Times New Roman" w:cs="Arial"/>
        <w:bCs/>
        <w:i/>
        <w:iCs/>
        <w:lang w:eastAsia="es-ES"/>
      </w:rPr>
      <w:t>”</w:t>
    </w:r>
    <w:r w:rsidRPr="003D7C2D">
      <w:rPr>
        <w:rFonts w:eastAsia="Times New Roman" w:cs="Arial"/>
        <w:bCs/>
        <w:i/>
        <w:iCs/>
        <w:lang w:val="es-ES" w:eastAsia="es-ES"/>
      </w:rPr>
      <w:t xml:space="preserve">  </w:t>
    </w:r>
  </w:p>
  <w:p w14:paraId="7158F415" w14:textId="77777777" w:rsidR="00DA3412" w:rsidRPr="00AC7D70" w:rsidRDefault="00DA3412" w:rsidP="00DA3412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EB9B" w14:textId="77777777" w:rsidR="00DA3412" w:rsidRDefault="007602D6" w:rsidP="00DA3412">
    <w:pPr>
      <w:pStyle w:val="Encabezado"/>
      <w:tabs>
        <w:tab w:val="clear" w:pos="4419"/>
        <w:tab w:val="clear" w:pos="8838"/>
        <w:tab w:val="right" w:pos="9745"/>
      </w:tabs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1DE0865" wp14:editId="7DF4D3D1">
          <wp:simplePos x="0" y="0"/>
          <wp:positionH relativeFrom="margin">
            <wp:posOffset>5257800</wp:posOffset>
          </wp:positionH>
          <wp:positionV relativeFrom="paragraph">
            <wp:posOffset>-40640</wp:posOffset>
          </wp:positionV>
          <wp:extent cx="1028700" cy="392430"/>
          <wp:effectExtent l="0" t="0" r="0" b="7620"/>
          <wp:wrapTight wrapText="bothSides">
            <wp:wrapPolygon edited="0">
              <wp:start x="2000" y="0"/>
              <wp:lineTo x="0" y="9437"/>
              <wp:lineTo x="0" y="20971"/>
              <wp:lineTo x="4400" y="20971"/>
              <wp:lineTo x="6000" y="20971"/>
              <wp:lineTo x="21200" y="18874"/>
              <wp:lineTo x="21200" y="1049"/>
              <wp:lineTo x="4000" y="0"/>
              <wp:lineTo x="2000" y="0"/>
            </wp:wrapPolygon>
          </wp:wrapTight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0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03C9"/>
    <w:multiLevelType w:val="hybridMultilevel"/>
    <w:tmpl w:val="5AE45714"/>
    <w:lvl w:ilvl="0" w:tplc="60F62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06FD1"/>
    <w:multiLevelType w:val="hybridMultilevel"/>
    <w:tmpl w:val="CF6A9C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4D2F3E"/>
    <w:multiLevelType w:val="hybridMultilevel"/>
    <w:tmpl w:val="61742800"/>
    <w:lvl w:ilvl="0" w:tplc="E7BA8D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29B5"/>
    <w:multiLevelType w:val="hybridMultilevel"/>
    <w:tmpl w:val="7F2C6308"/>
    <w:lvl w:ilvl="0" w:tplc="60F62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A6170"/>
    <w:multiLevelType w:val="hybridMultilevel"/>
    <w:tmpl w:val="312CF002"/>
    <w:lvl w:ilvl="0" w:tplc="DA6C13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39"/>
    <w:rsid w:val="00003335"/>
    <w:rsid w:val="00003371"/>
    <w:rsid w:val="000067D3"/>
    <w:rsid w:val="00040736"/>
    <w:rsid w:val="000533AC"/>
    <w:rsid w:val="000541A6"/>
    <w:rsid w:val="00065815"/>
    <w:rsid w:val="00073C5A"/>
    <w:rsid w:val="00075A5A"/>
    <w:rsid w:val="00092A8C"/>
    <w:rsid w:val="00093DB3"/>
    <w:rsid w:val="000A0C99"/>
    <w:rsid w:val="000A476C"/>
    <w:rsid w:val="000C091B"/>
    <w:rsid w:val="000C7D18"/>
    <w:rsid w:val="000D1F0F"/>
    <w:rsid w:val="000E33BE"/>
    <w:rsid w:val="00100018"/>
    <w:rsid w:val="00104E6A"/>
    <w:rsid w:val="0010781B"/>
    <w:rsid w:val="001159C3"/>
    <w:rsid w:val="001207C7"/>
    <w:rsid w:val="0013576C"/>
    <w:rsid w:val="001370FF"/>
    <w:rsid w:val="00144160"/>
    <w:rsid w:val="001454F1"/>
    <w:rsid w:val="001617BD"/>
    <w:rsid w:val="0016500F"/>
    <w:rsid w:val="0018126F"/>
    <w:rsid w:val="001815F0"/>
    <w:rsid w:val="00184F6C"/>
    <w:rsid w:val="00186A0E"/>
    <w:rsid w:val="001B25B5"/>
    <w:rsid w:val="001B29C3"/>
    <w:rsid w:val="001C4747"/>
    <w:rsid w:val="001C4B1B"/>
    <w:rsid w:val="001C5CD9"/>
    <w:rsid w:val="001D316F"/>
    <w:rsid w:val="001D631B"/>
    <w:rsid w:val="001E3897"/>
    <w:rsid w:val="001F2E77"/>
    <w:rsid w:val="001F3020"/>
    <w:rsid w:val="001F361A"/>
    <w:rsid w:val="001F3AD8"/>
    <w:rsid w:val="0020162B"/>
    <w:rsid w:val="00201C13"/>
    <w:rsid w:val="00205A97"/>
    <w:rsid w:val="002366EE"/>
    <w:rsid w:val="0024081B"/>
    <w:rsid w:val="00247345"/>
    <w:rsid w:val="002844E0"/>
    <w:rsid w:val="002870E9"/>
    <w:rsid w:val="002947DA"/>
    <w:rsid w:val="002A07E8"/>
    <w:rsid w:val="002C2032"/>
    <w:rsid w:val="002C2DC3"/>
    <w:rsid w:val="002E5D45"/>
    <w:rsid w:val="00304B70"/>
    <w:rsid w:val="003109D1"/>
    <w:rsid w:val="003122E7"/>
    <w:rsid w:val="003215DE"/>
    <w:rsid w:val="00330564"/>
    <w:rsid w:val="00352D9E"/>
    <w:rsid w:val="00355980"/>
    <w:rsid w:val="00364346"/>
    <w:rsid w:val="00366B0F"/>
    <w:rsid w:val="003927B2"/>
    <w:rsid w:val="003A1228"/>
    <w:rsid w:val="003A1F9B"/>
    <w:rsid w:val="003A4C91"/>
    <w:rsid w:val="003A5391"/>
    <w:rsid w:val="003B44A0"/>
    <w:rsid w:val="003C5F5F"/>
    <w:rsid w:val="003D19C9"/>
    <w:rsid w:val="003D3E93"/>
    <w:rsid w:val="003D44C3"/>
    <w:rsid w:val="003D7C2D"/>
    <w:rsid w:val="003F4CC4"/>
    <w:rsid w:val="00401C12"/>
    <w:rsid w:val="00403F82"/>
    <w:rsid w:val="004260D5"/>
    <w:rsid w:val="00431574"/>
    <w:rsid w:val="00432F6C"/>
    <w:rsid w:val="0044433D"/>
    <w:rsid w:val="004478D4"/>
    <w:rsid w:val="0045121B"/>
    <w:rsid w:val="00451FF6"/>
    <w:rsid w:val="00453156"/>
    <w:rsid w:val="0046631F"/>
    <w:rsid w:val="00467641"/>
    <w:rsid w:val="00471966"/>
    <w:rsid w:val="004840C0"/>
    <w:rsid w:val="00484595"/>
    <w:rsid w:val="00485AFA"/>
    <w:rsid w:val="004965ED"/>
    <w:rsid w:val="00496A4E"/>
    <w:rsid w:val="004A2E84"/>
    <w:rsid w:val="004A31AA"/>
    <w:rsid w:val="004B2568"/>
    <w:rsid w:val="004B26C8"/>
    <w:rsid w:val="004B6A96"/>
    <w:rsid w:val="004C37CB"/>
    <w:rsid w:val="004C566E"/>
    <w:rsid w:val="004C703A"/>
    <w:rsid w:val="004D3DD9"/>
    <w:rsid w:val="004D67CE"/>
    <w:rsid w:val="004E351B"/>
    <w:rsid w:val="004E3C29"/>
    <w:rsid w:val="004E78E6"/>
    <w:rsid w:val="00500DBC"/>
    <w:rsid w:val="005035D9"/>
    <w:rsid w:val="00507276"/>
    <w:rsid w:val="00507FBF"/>
    <w:rsid w:val="00514BAA"/>
    <w:rsid w:val="0052304A"/>
    <w:rsid w:val="00523ED3"/>
    <w:rsid w:val="00534A45"/>
    <w:rsid w:val="005357AC"/>
    <w:rsid w:val="0054202B"/>
    <w:rsid w:val="00545F7F"/>
    <w:rsid w:val="005755A0"/>
    <w:rsid w:val="00580AD3"/>
    <w:rsid w:val="0058575D"/>
    <w:rsid w:val="005A70A6"/>
    <w:rsid w:val="005B19DC"/>
    <w:rsid w:val="005D0114"/>
    <w:rsid w:val="005D0F34"/>
    <w:rsid w:val="005E2B58"/>
    <w:rsid w:val="005E2FE6"/>
    <w:rsid w:val="005F51FD"/>
    <w:rsid w:val="00605253"/>
    <w:rsid w:val="006054A5"/>
    <w:rsid w:val="006072A2"/>
    <w:rsid w:val="00613491"/>
    <w:rsid w:val="00614B0A"/>
    <w:rsid w:val="00622B73"/>
    <w:rsid w:val="00636D09"/>
    <w:rsid w:val="0064049F"/>
    <w:rsid w:val="00645A7B"/>
    <w:rsid w:val="00646DF4"/>
    <w:rsid w:val="00652352"/>
    <w:rsid w:val="00654D30"/>
    <w:rsid w:val="00655970"/>
    <w:rsid w:val="00656C1E"/>
    <w:rsid w:val="00660883"/>
    <w:rsid w:val="00661F8A"/>
    <w:rsid w:val="00662EC8"/>
    <w:rsid w:val="00665978"/>
    <w:rsid w:val="00666CDA"/>
    <w:rsid w:val="00670DC0"/>
    <w:rsid w:val="0067325D"/>
    <w:rsid w:val="00683963"/>
    <w:rsid w:val="00697BBB"/>
    <w:rsid w:val="006A0BD5"/>
    <w:rsid w:val="006A2EBB"/>
    <w:rsid w:val="006A4425"/>
    <w:rsid w:val="006D2E20"/>
    <w:rsid w:val="006D7953"/>
    <w:rsid w:val="006E6145"/>
    <w:rsid w:val="006E64E4"/>
    <w:rsid w:val="006E6E1B"/>
    <w:rsid w:val="006F2B5A"/>
    <w:rsid w:val="00716B3E"/>
    <w:rsid w:val="007208DB"/>
    <w:rsid w:val="00721154"/>
    <w:rsid w:val="00724321"/>
    <w:rsid w:val="00732E44"/>
    <w:rsid w:val="007463C6"/>
    <w:rsid w:val="00753BCC"/>
    <w:rsid w:val="007602D6"/>
    <w:rsid w:val="00764654"/>
    <w:rsid w:val="007754E7"/>
    <w:rsid w:val="00777FCC"/>
    <w:rsid w:val="00784EE6"/>
    <w:rsid w:val="00790B59"/>
    <w:rsid w:val="00791881"/>
    <w:rsid w:val="00796FF4"/>
    <w:rsid w:val="007A1A5D"/>
    <w:rsid w:val="007A6E07"/>
    <w:rsid w:val="007B0D32"/>
    <w:rsid w:val="007B51D9"/>
    <w:rsid w:val="007B5A0B"/>
    <w:rsid w:val="007C5C99"/>
    <w:rsid w:val="007D1B87"/>
    <w:rsid w:val="007D5D48"/>
    <w:rsid w:val="007E6400"/>
    <w:rsid w:val="007F3132"/>
    <w:rsid w:val="0082054B"/>
    <w:rsid w:val="0082139F"/>
    <w:rsid w:val="0082204D"/>
    <w:rsid w:val="0082245C"/>
    <w:rsid w:val="00825678"/>
    <w:rsid w:val="00835F13"/>
    <w:rsid w:val="00867D33"/>
    <w:rsid w:val="00886422"/>
    <w:rsid w:val="008913FE"/>
    <w:rsid w:val="00894680"/>
    <w:rsid w:val="00897E01"/>
    <w:rsid w:val="00897EFE"/>
    <w:rsid w:val="008A258D"/>
    <w:rsid w:val="008A5FA5"/>
    <w:rsid w:val="008B11A5"/>
    <w:rsid w:val="008B4999"/>
    <w:rsid w:val="008B7DDD"/>
    <w:rsid w:val="008C3AB0"/>
    <w:rsid w:val="008D2313"/>
    <w:rsid w:val="008D6C2C"/>
    <w:rsid w:val="008E4FB9"/>
    <w:rsid w:val="008F1104"/>
    <w:rsid w:val="008F3C53"/>
    <w:rsid w:val="008F4D85"/>
    <w:rsid w:val="008F63B2"/>
    <w:rsid w:val="008F64D4"/>
    <w:rsid w:val="00911AB6"/>
    <w:rsid w:val="00927635"/>
    <w:rsid w:val="0093148A"/>
    <w:rsid w:val="0093335A"/>
    <w:rsid w:val="00937FD0"/>
    <w:rsid w:val="009406E5"/>
    <w:rsid w:val="00943058"/>
    <w:rsid w:val="00951D33"/>
    <w:rsid w:val="00957A78"/>
    <w:rsid w:val="009729E3"/>
    <w:rsid w:val="00982BB1"/>
    <w:rsid w:val="00997737"/>
    <w:rsid w:val="009A1521"/>
    <w:rsid w:val="009B6A4C"/>
    <w:rsid w:val="009C6BE2"/>
    <w:rsid w:val="009D1C5A"/>
    <w:rsid w:val="009E550F"/>
    <w:rsid w:val="009F4D2F"/>
    <w:rsid w:val="009F5BEE"/>
    <w:rsid w:val="00A02613"/>
    <w:rsid w:val="00A02C7B"/>
    <w:rsid w:val="00A063C5"/>
    <w:rsid w:val="00A071E3"/>
    <w:rsid w:val="00A215D3"/>
    <w:rsid w:val="00A21E00"/>
    <w:rsid w:val="00A240F4"/>
    <w:rsid w:val="00A27F46"/>
    <w:rsid w:val="00A318F1"/>
    <w:rsid w:val="00A32E53"/>
    <w:rsid w:val="00A334BC"/>
    <w:rsid w:val="00A34EE9"/>
    <w:rsid w:val="00A44B01"/>
    <w:rsid w:val="00A5121F"/>
    <w:rsid w:val="00A51531"/>
    <w:rsid w:val="00A51743"/>
    <w:rsid w:val="00A56598"/>
    <w:rsid w:val="00A610D4"/>
    <w:rsid w:val="00A6251E"/>
    <w:rsid w:val="00A67B20"/>
    <w:rsid w:val="00A70E6C"/>
    <w:rsid w:val="00A76130"/>
    <w:rsid w:val="00A968EC"/>
    <w:rsid w:val="00A97377"/>
    <w:rsid w:val="00A977A0"/>
    <w:rsid w:val="00AA07C0"/>
    <w:rsid w:val="00AB117E"/>
    <w:rsid w:val="00AB1C73"/>
    <w:rsid w:val="00AB6351"/>
    <w:rsid w:val="00AC22DC"/>
    <w:rsid w:val="00AD43F3"/>
    <w:rsid w:val="00AE40F0"/>
    <w:rsid w:val="00AE77F2"/>
    <w:rsid w:val="00B23E42"/>
    <w:rsid w:val="00B3254B"/>
    <w:rsid w:val="00B3265D"/>
    <w:rsid w:val="00B32F7D"/>
    <w:rsid w:val="00B353C6"/>
    <w:rsid w:val="00B35B37"/>
    <w:rsid w:val="00B37A38"/>
    <w:rsid w:val="00B4138D"/>
    <w:rsid w:val="00B474A6"/>
    <w:rsid w:val="00B548AF"/>
    <w:rsid w:val="00B57554"/>
    <w:rsid w:val="00B70B78"/>
    <w:rsid w:val="00B70FFA"/>
    <w:rsid w:val="00B773D0"/>
    <w:rsid w:val="00B825D5"/>
    <w:rsid w:val="00BB0794"/>
    <w:rsid w:val="00BB5271"/>
    <w:rsid w:val="00BB7352"/>
    <w:rsid w:val="00BB7CA1"/>
    <w:rsid w:val="00BC29BF"/>
    <w:rsid w:val="00BC4C10"/>
    <w:rsid w:val="00BC53C1"/>
    <w:rsid w:val="00BC610C"/>
    <w:rsid w:val="00BD5332"/>
    <w:rsid w:val="00BD5491"/>
    <w:rsid w:val="00BD6CC0"/>
    <w:rsid w:val="00BF12C7"/>
    <w:rsid w:val="00BF5D9A"/>
    <w:rsid w:val="00C006DC"/>
    <w:rsid w:val="00C01B90"/>
    <w:rsid w:val="00C03F56"/>
    <w:rsid w:val="00C07F94"/>
    <w:rsid w:val="00C14EA7"/>
    <w:rsid w:val="00C22732"/>
    <w:rsid w:val="00C25B7A"/>
    <w:rsid w:val="00C2751C"/>
    <w:rsid w:val="00C44E90"/>
    <w:rsid w:val="00C5016E"/>
    <w:rsid w:val="00C513F7"/>
    <w:rsid w:val="00C551BF"/>
    <w:rsid w:val="00C70D26"/>
    <w:rsid w:val="00C7346E"/>
    <w:rsid w:val="00C73ED1"/>
    <w:rsid w:val="00C7718E"/>
    <w:rsid w:val="00C921F5"/>
    <w:rsid w:val="00CB5167"/>
    <w:rsid w:val="00CC37AD"/>
    <w:rsid w:val="00CE44F0"/>
    <w:rsid w:val="00CF12BE"/>
    <w:rsid w:val="00CF216C"/>
    <w:rsid w:val="00CF654B"/>
    <w:rsid w:val="00D004CA"/>
    <w:rsid w:val="00D01EB0"/>
    <w:rsid w:val="00D0687F"/>
    <w:rsid w:val="00D143AC"/>
    <w:rsid w:val="00D15026"/>
    <w:rsid w:val="00D403C4"/>
    <w:rsid w:val="00D40662"/>
    <w:rsid w:val="00D56161"/>
    <w:rsid w:val="00D6249A"/>
    <w:rsid w:val="00D71F38"/>
    <w:rsid w:val="00D73AEA"/>
    <w:rsid w:val="00D85F20"/>
    <w:rsid w:val="00D875E6"/>
    <w:rsid w:val="00D91106"/>
    <w:rsid w:val="00D92230"/>
    <w:rsid w:val="00D97B52"/>
    <w:rsid w:val="00DA3412"/>
    <w:rsid w:val="00DB4A61"/>
    <w:rsid w:val="00DB5728"/>
    <w:rsid w:val="00DB6300"/>
    <w:rsid w:val="00DC0132"/>
    <w:rsid w:val="00DC6BE0"/>
    <w:rsid w:val="00DD10E0"/>
    <w:rsid w:val="00DD1BF9"/>
    <w:rsid w:val="00DD29B4"/>
    <w:rsid w:val="00DD764B"/>
    <w:rsid w:val="00DE1C3B"/>
    <w:rsid w:val="00DE72BB"/>
    <w:rsid w:val="00DF2DF4"/>
    <w:rsid w:val="00E1326B"/>
    <w:rsid w:val="00E13714"/>
    <w:rsid w:val="00E13D39"/>
    <w:rsid w:val="00E2117B"/>
    <w:rsid w:val="00E26EDF"/>
    <w:rsid w:val="00E30779"/>
    <w:rsid w:val="00E322EE"/>
    <w:rsid w:val="00E43A56"/>
    <w:rsid w:val="00E52A3A"/>
    <w:rsid w:val="00E61E1A"/>
    <w:rsid w:val="00E66A1E"/>
    <w:rsid w:val="00E74DF7"/>
    <w:rsid w:val="00EA40E9"/>
    <w:rsid w:val="00EB05A7"/>
    <w:rsid w:val="00EB54B2"/>
    <w:rsid w:val="00EC0138"/>
    <w:rsid w:val="00ED4B12"/>
    <w:rsid w:val="00ED7AA4"/>
    <w:rsid w:val="00EF0A05"/>
    <w:rsid w:val="00F12497"/>
    <w:rsid w:val="00F13976"/>
    <w:rsid w:val="00F152F5"/>
    <w:rsid w:val="00F405F1"/>
    <w:rsid w:val="00F47442"/>
    <w:rsid w:val="00F516B5"/>
    <w:rsid w:val="00F608E9"/>
    <w:rsid w:val="00F6148D"/>
    <w:rsid w:val="00F6303F"/>
    <w:rsid w:val="00F662AC"/>
    <w:rsid w:val="00F735D7"/>
    <w:rsid w:val="00F76C0F"/>
    <w:rsid w:val="00F8076E"/>
    <w:rsid w:val="00F80D15"/>
    <w:rsid w:val="00F81A8E"/>
    <w:rsid w:val="00FA3B18"/>
    <w:rsid w:val="00FA6FDA"/>
    <w:rsid w:val="00FB5BDF"/>
    <w:rsid w:val="00FB6E41"/>
    <w:rsid w:val="00FC7D3C"/>
    <w:rsid w:val="00FD4933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2E52"/>
  <w15:docId w15:val="{0C4BF6AF-1336-424E-ABC8-034BAE8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3D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D39"/>
    <w:rPr>
      <w:sz w:val="20"/>
      <w:szCs w:val="20"/>
    </w:rPr>
  </w:style>
  <w:style w:type="paragraph" w:styleId="Encabezado">
    <w:name w:val="header"/>
    <w:basedOn w:val="Normal"/>
    <w:link w:val="EncabezadoCar"/>
    <w:unhideWhenUsed/>
    <w:rsid w:val="00E13D3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13D3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D3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3D39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E13D39"/>
  </w:style>
  <w:style w:type="character" w:styleId="Refdenotaalpie">
    <w:name w:val="footnote reference"/>
    <w:uiPriority w:val="99"/>
    <w:semiHidden/>
    <w:unhideWhenUsed/>
    <w:rsid w:val="00E13D39"/>
    <w:rPr>
      <w:vertAlign w:val="superscript"/>
    </w:rPr>
  </w:style>
  <w:style w:type="paragraph" w:styleId="Prrafodelista">
    <w:name w:val="List Paragraph"/>
    <w:basedOn w:val="Normal"/>
    <w:uiPriority w:val="99"/>
    <w:qFormat/>
    <w:rsid w:val="00BB7352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Century Gothic" w:eastAsia="Times New Roman" w:hAnsi="Century Gothic" w:cs="Times New Roman"/>
      <w:i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C2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22DC"/>
    <w:rPr>
      <w:rFonts w:ascii="Times New Roman" w:eastAsia="Times New Roman" w:hAnsi="Times New Roman" w:cs="Times New Roman"/>
      <w:sz w:val="27"/>
      <w:szCs w:val="27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FF6"/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8913F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Sinespaciado">
    <w:name w:val="No Spacing"/>
    <w:link w:val="SinespaciadoCar"/>
    <w:uiPriority w:val="99"/>
    <w:qFormat/>
    <w:rsid w:val="004D67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4D67CE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35F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5F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5F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F1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F12497"/>
    <w:pPr>
      <w:spacing w:after="0" w:line="240" w:lineRule="auto"/>
    </w:pPr>
  </w:style>
  <w:style w:type="character" w:customStyle="1" w:styleId="il">
    <w:name w:val="il"/>
    <w:basedOn w:val="Fuentedeprrafopredeter"/>
    <w:rsid w:val="0020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AF8A-1403-4AF9-AE8A-8F11986E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CERON GOMEZ</dc:creator>
  <cp:keywords/>
  <dc:description/>
  <cp:lastModifiedBy>Diego Reyes</cp:lastModifiedBy>
  <cp:revision>2</cp:revision>
  <dcterms:created xsi:type="dcterms:W3CDTF">2022-06-06T20:23:00Z</dcterms:created>
  <dcterms:modified xsi:type="dcterms:W3CDTF">2022-06-06T20:23:00Z</dcterms:modified>
</cp:coreProperties>
</file>